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5F26A2D1" w14:textId="5A01870C" w:rsidR="00ED71BA"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468247" w:history="1">
        <w:r w:rsidR="00ED71BA" w:rsidRPr="002264EE">
          <w:rPr>
            <w:rStyle w:val="Hyperlink"/>
            <w:b/>
            <w:bCs/>
            <w:noProof/>
          </w:rPr>
          <w:t>Figure 1.</w:t>
        </w:r>
        <w:r w:rsidR="00ED71BA" w:rsidRPr="002264EE">
          <w:rPr>
            <w:rStyle w:val="Hyperlink"/>
            <w:noProof/>
          </w:rPr>
          <w:t xml:space="preserve"> Overall architecture</w:t>
        </w:r>
        <w:r w:rsidR="00ED71BA">
          <w:rPr>
            <w:noProof/>
            <w:webHidden/>
          </w:rPr>
          <w:tab/>
        </w:r>
        <w:r w:rsidR="00ED71BA">
          <w:rPr>
            <w:noProof/>
            <w:webHidden/>
          </w:rPr>
          <w:fldChar w:fldCharType="begin"/>
        </w:r>
        <w:r w:rsidR="00ED71BA">
          <w:rPr>
            <w:noProof/>
            <w:webHidden/>
          </w:rPr>
          <w:instrText xml:space="preserve"> PAGEREF _Toc201468247 \h </w:instrText>
        </w:r>
        <w:r w:rsidR="00ED71BA">
          <w:rPr>
            <w:noProof/>
            <w:webHidden/>
          </w:rPr>
        </w:r>
        <w:r w:rsidR="00ED71BA">
          <w:rPr>
            <w:noProof/>
            <w:webHidden/>
          </w:rPr>
          <w:fldChar w:fldCharType="separate"/>
        </w:r>
        <w:r w:rsidR="00ED71BA">
          <w:rPr>
            <w:noProof/>
            <w:webHidden/>
          </w:rPr>
          <w:t>16</w:t>
        </w:r>
        <w:r w:rsidR="00ED71BA">
          <w:rPr>
            <w:noProof/>
            <w:webHidden/>
          </w:rPr>
          <w:fldChar w:fldCharType="end"/>
        </w:r>
      </w:hyperlink>
    </w:p>
    <w:p w14:paraId="54D44247" w14:textId="68411F17"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6B7BA15B" w14:textId="578F2DFA" w:rsidR="00CA0D56" w:rsidRPr="00F562E4" w:rsidRDefault="00637022" w:rsidP="002560F1">
      <w:pPr>
        <w:spacing w:line="360" w:lineRule="auto"/>
        <w:rPr>
          <w:rFonts w:cs="Arial"/>
        </w:rPr>
      </w:pPr>
      <w:r w:rsidRPr="00F562E4">
        <w:rPr>
          <w:rFonts w:cs="Arial"/>
        </w:rPr>
        <w:fldChar w:fldCharType="begin"/>
      </w:r>
      <w:r w:rsidRPr="00F562E4">
        <w:rPr>
          <w:rFonts w:cs="Arial"/>
        </w:rPr>
        <w:instrText xml:space="preserve"> TOC \h \z \c "Table" </w:instrText>
      </w:r>
      <w:r w:rsidRPr="00F562E4">
        <w:rPr>
          <w:rFonts w:cs="Arial"/>
        </w:rPr>
        <w:fldChar w:fldCharType="separate"/>
      </w:r>
      <w:r w:rsidR="00F51EED">
        <w:rPr>
          <w:rFonts w:cs="Arial"/>
          <w:b/>
          <w:bCs/>
          <w:noProof/>
        </w:rPr>
        <w:t>No table of figures entries found.</w:t>
      </w: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DeepSeek model</w:t>
      </w:r>
      <w:bookmarkEnd w:id="41"/>
      <w:bookmarkEnd w:id="42"/>
    </w:p>
    <w:p w14:paraId="466840EA" w14:textId="77777777"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165EDB69"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w:t>
      </w:r>
      <w:r w:rsidRPr="00705E36">
        <w:rPr>
          <w:rFonts w:cs="Arial"/>
          <w:color w:val="000000"/>
        </w:rPr>
        <w: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12A81EFE"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thấpm</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11928D8" w:rsidR="00AC0B5E" w:rsidRPr="00F562E4" w:rsidRDefault="00AC0B5E" w:rsidP="00AC0B5E">
      <w:pPr>
        <w:pStyle w:val="Heading2"/>
        <w:rPr>
          <w:rFonts w:cs="Arial"/>
        </w:rPr>
      </w:pPr>
      <w:bookmarkStart w:id="45" w:name="_Toc201354842"/>
      <w:bookmarkStart w:id="46" w:name="_Toc201355454"/>
      <w:r w:rsidRPr="00F562E4">
        <w:rPr>
          <w:rFonts w:cs="Arial"/>
        </w:rPr>
        <w:t>Orthogonal-Low-Rank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1CD7F311" w14:textId="4B5EC6A9"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 xml:space="preserve">Orthogonal Low-Rank Adaptation </w:t>
      </w:r>
      <w:sdt>
        <w:sdtPr>
          <w:rPr>
            <w:rFonts w:cs="Arial"/>
            <w:noProof/>
            <w:color w:val="000000"/>
          </w:rPr>
          <w:id w:val="39740232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là</w:t>
      </w:r>
      <w:r w:rsidRPr="00F562E4">
        <w:rPr>
          <w:rFonts w:cs="Arial"/>
          <w:noProof/>
          <w:color w:val="000000"/>
          <w:lang w:val="vi-VN"/>
        </w:rPr>
        <w:t xml:space="preserve"> một phương pháp </w:t>
      </w:r>
      <w:r w:rsidRPr="00F562E4">
        <w:rPr>
          <w:rFonts w:cs="Arial"/>
          <w:noProof/>
          <w:color w:val="000000"/>
        </w:rPr>
        <w:t>Continual Multi-Task Fine-Tuning, bằng cách</w:t>
      </w:r>
      <w:r w:rsidRPr="00F562E4">
        <w:rPr>
          <w:rFonts w:cs="Arial"/>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Pr="00F562E4">
        <w:rPr>
          <w:rFonts w:cs="Arial"/>
          <w:noProof/>
          <w:color w:val="000000"/>
        </w:rPr>
        <w:t>.</w:t>
      </w:r>
      <w:r w:rsidRPr="00F562E4">
        <w:rPr>
          <w:rFonts w:cs="Arial"/>
          <w:noProof/>
          <w:color w:val="000000"/>
          <w:lang w:val="vi-VN"/>
        </w:rPr>
        <w:t xml:space="preserve"> </w:t>
      </w:r>
      <w:r w:rsidRPr="00F562E4">
        <w:rPr>
          <w:rFonts w:cs="Arial"/>
          <w:noProof/>
          <w:color w:val="000000"/>
        </w:rPr>
        <w:t>Với</w:t>
      </w:r>
      <w:r w:rsidRPr="00F562E4">
        <w:rPr>
          <w:rFonts w:cs="Arial"/>
          <w:noProof/>
          <w:color w:val="000000"/>
          <w:lang w:val="vi-VN"/>
        </w:rPr>
        <w:t xml:space="preserve"> các nguyên tắc</w:t>
      </w:r>
      <w:r w:rsidRPr="00F562E4">
        <w:rPr>
          <w:rFonts w:cs="Arial"/>
          <w:noProof/>
          <w:color w:val="000000"/>
        </w:rPr>
        <w:t>:</w:t>
      </w:r>
    </w:p>
    <w:p w14:paraId="23948A2D"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Mỗi</w:t>
      </w:r>
      <w:r w:rsidRPr="00F562E4">
        <w:rPr>
          <w:rFonts w:cs="Arial"/>
          <w:noProof/>
          <w:color w:val="000000"/>
          <w:lang w:val="vi-VN"/>
        </w:rPr>
        <w:t xml:space="preserve"> task chỉ train trên tập dữ liệu của task hiện tại, </w:t>
      </w:r>
    </w:p>
    <w:p w14:paraId="1485A044"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Bằng</w:t>
      </w:r>
      <w:r w:rsidRPr="00F562E4">
        <w:rPr>
          <w:rFonts w:cs="Arial"/>
          <w:noProof/>
          <w:color w:val="000000"/>
          <w:lang w:val="vi-VN"/>
        </w:rPr>
        <w:t xml:space="preserve"> cách tính tính mức độ giao nhau giữa các vector</w:t>
      </w:r>
      <w:r w:rsidRPr="00F562E4">
        <w:rPr>
          <w:rFonts w:cs="Arial"/>
          <w:noProof/>
          <w:color w:val="000000"/>
        </w:rPr>
        <w:t xml:space="preserve"> O-LoRA tính ra một hàm mất mát phụ gọi là orth_loss</w:t>
      </w:r>
      <w:r w:rsidRPr="00F562E4">
        <w:rPr>
          <w:rFonts w:cs="Arial"/>
          <w:noProof/>
          <w:color w:val="000000"/>
          <w:lang w:val="vi-VN"/>
        </w:rPr>
        <w:t xml:space="preserve">, </w:t>
      </w:r>
      <w:r w:rsidRPr="00F562E4">
        <w:rPr>
          <w:rFonts w:cs="Arial"/>
          <w:noProof/>
          <w:color w:val="000000"/>
        </w:rPr>
        <w:t xml:space="preserve">Sau đó, hàm này được nhân với một hệ số điều chỉnh lambda_orth và cộng thêm vào tổng mất mát theo công thức: </w:t>
      </w:r>
      <w:r w:rsidRPr="00F562E4">
        <w:rPr>
          <w:rFonts w:cs="Arial"/>
          <w:noProof/>
          <w:color w:val="000000"/>
          <w:lang w:val="vi-VN"/>
        </w:rPr>
        <w:t>total_loss = lm_loss + lambda_orth * orth_loss</w:t>
      </w:r>
      <w:r w:rsidRPr="00F562E4">
        <w:rPr>
          <w:rFonts w:cs="Arial"/>
          <w:noProof/>
          <w:color w:val="000000"/>
        </w:rPr>
        <w:t>.</w:t>
      </w:r>
      <w:r w:rsidRPr="00F562E4">
        <w:rPr>
          <w:rFonts w:cs="Arial"/>
          <w:noProof/>
          <w:color w:val="000000"/>
          <w:lang w:val="vi-VN"/>
        </w:rPr>
        <w:t xml:space="preserve"> Bằng cách này, ma trận A sẽ được ép dần</w:t>
      </w:r>
      <w:r w:rsidRPr="00F562E4">
        <w:rPr>
          <w:rFonts w:cs="Arial"/>
          <w:noProof/>
          <w:color w:val="000000"/>
        </w:rPr>
        <w:t xml:space="preserve"> </w:t>
      </w:r>
      <w:r w:rsidRPr="00F562E4">
        <w:rPr>
          <w:rFonts w:cs="Arial"/>
          <w:noProof/>
          <w:color w:val="000000"/>
          <w:lang w:val="vi-VN"/>
        </w:rPr>
        <w:t>phải trực giao với ma trận A của những task trước đó và trực giao với các hàng khác trong chính nó</w:t>
      </w:r>
      <w:r w:rsidRPr="00F562E4">
        <w:rPr>
          <w:rFonts w:cs="Arial"/>
          <w:noProof/>
          <w:color w:val="000000"/>
        </w:rPr>
        <w:t>.</w:t>
      </w:r>
    </w:p>
    <w:p w14:paraId="656201DB"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noProof/>
          <w:color w:val="000000"/>
        </w:rPr>
      </w:pPr>
      <w:r w:rsidRPr="00F562E4">
        <w:rPr>
          <w:rFonts w:cs="Arial"/>
          <w:noProof/>
          <w:color w:val="000000"/>
          <w:lang w:val="vi-VN"/>
        </w:rPr>
        <w:t>S</w:t>
      </w:r>
      <w:r w:rsidRPr="00F562E4">
        <w:rPr>
          <w:rFonts w:cs="Arial"/>
          <w:noProof/>
          <w:color w:val="000000"/>
        </w:rPr>
        <w:t>au</w:t>
      </w:r>
      <w:r w:rsidRPr="00F562E4">
        <w:rPr>
          <w:rFonts w:cs="Arial"/>
          <w:noProof/>
          <w:color w:val="000000"/>
          <w:lang w:val="vi-VN"/>
        </w:rPr>
        <w:t xml:space="preserve"> khi training xong adapter sẽ phải freeze để đảm bảo kiến thức đã được học được bảo toàn.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 xml:space="preserve">rực giao với các task trước, O-LoRA đảm bảo mô hình không ghi đè kiến thức đã học, từ đó duy trì hiệu suất </w:t>
      </w:r>
      <w:r w:rsidRPr="00F562E4">
        <w:rPr>
          <w:rFonts w:cs="Arial"/>
          <w:noProof/>
          <w:color w:val="000000"/>
        </w:rPr>
        <w:lastRenderedPageBreak/>
        <w:t>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0838D8BC"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O-LoRA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w:t>
      </w:r>
      <w:r w:rsidRPr="00F562E4">
        <w:rPr>
          <w:rFonts w:cs="Arial"/>
          <w:noProof/>
          <w:color w:val="000000"/>
        </w:rPr>
        <w:lastRenderedPageBreak/>
        <w:t>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Việc hợp nhất (merge) các adapter vào mô hình backbone sau mỗi vòng giúp giữ nguyên chi phí bộ nhớ, tránh tích lũy các module dư thừa. Đồng thời, chiến lược giảm 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468247"/>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Pr="00F562E4" w:rsidRDefault="00E17BCA" w:rsidP="00C6164A">
      <w:pPr>
        <w:pStyle w:val="Heading2"/>
        <w:rPr>
          <w:rFonts w:cs="Arial"/>
        </w:rPr>
      </w:pPr>
      <w:bookmarkStart w:id="57" w:name="_Toc195283945"/>
      <w:bookmarkStart w:id="58" w:name="_Toc201354846"/>
      <w:bookmarkStart w:id="59" w:name="_Toc201355458"/>
      <w:r w:rsidRPr="00F562E4">
        <w:rPr>
          <w:rFonts w:cs="Arial"/>
        </w:rPr>
        <w:t xml:space="preserve">Data </w:t>
      </w:r>
      <w:r w:rsidR="00EF2342" w:rsidRPr="00F562E4">
        <w:rPr>
          <w:rFonts w:cs="Arial"/>
        </w:rPr>
        <w:t>Preprocessing</w:t>
      </w:r>
      <w:bookmarkEnd w:id="57"/>
      <w:bookmarkEnd w:id="58"/>
      <w:bookmarkEnd w:id="59"/>
    </w:p>
    <w:p w14:paraId="648BD620" w14:textId="2567DA9C" w:rsidR="003D6BF3" w:rsidRPr="002D289D" w:rsidRDefault="00C14AB0" w:rsidP="003D6BF3">
      <w:pPr>
        <w:pStyle w:val="sectioncontinue"/>
        <w:rPr>
          <w:rFonts w:cs="Arial"/>
        </w:rPr>
      </w:pPr>
      <w:r>
        <w:rPr>
          <w:rFonts w:cs="Arial"/>
          <w:lang w:val="vi-VN"/>
        </w:rPr>
        <w:t>Dữ liệu được thu thập</w:t>
      </w:r>
    </w:p>
    <w:p w14:paraId="422D726F" w14:textId="77777777" w:rsidR="003D6BF3" w:rsidRPr="00F562E4" w:rsidRDefault="003D6BF3" w:rsidP="003D6BF3">
      <w:pPr>
        <w:rPr>
          <w:rFonts w:cs="Arial"/>
        </w:rPr>
      </w:pPr>
    </w:p>
    <w:p w14:paraId="6D12C13F" w14:textId="77777777" w:rsidR="003D6BF3" w:rsidRPr="00F562E4" w:rsidRDefault="00EE39A5" w:rsidP="00D24EB6">
      <w:pPr>
        <w:pStyle w:val="Heading2"/>
        <w:rPr>
          <w:rFonts w:cs="Arial"/>
        </w:rPr>
      </w:pPr>
      <w:bookmarkStart w:id="60" w:name="_Toc195283948"/>
      <w:bookmarkStart w:id="61" w:name="_Toc201354847"/>
      <w:bookmarkStart w:id="62"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0"/>
      <w:bookmarkEnd w:id="61"/>
      <w:bookmarkEnd w:id="62"/>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3" w:name="_Toc195283954"/>
      <w:bookmarkStart w:id="64" w:name="_Toc201354848"/>
      <w:bookmarkStart w:id="65" w:name="_Toc201355460"/>
      <w:r w:rsidRPr="00F562E4">
        <w:rPr>
          <w:rFonts w:cs="Arial"/>
        </w:rPr>
        <w:t xml:space="preserve">Experiments And </w:t>
      </w:r>
      <w:r w:rsidR="006028B7" w:rsidRPr="00F562E4">
        <w:rPr>
          <w:rFonts w:cs="Arial"/>
        </w:rPr>
        <w:t>Results</w:t>
      </w:r>
      <w:bookmarkEnd w:id="63"/>
      <w:bookmarkEnd w:id="64"/>
      <w:bookmarkEnd w:id="65"/>
    </w:p>
    <w:p w14:paraId="4F3F3BB4" w14:textId="40AA39DD" w:rsidR="00CE03CE" w:rsidRPr="00F562E4" w:rsidRDefault="00CE03CE" w:rsidP="00CE03CE">
      <w:pPr>
        <w:pStyle w:val="Heading2"/>
        <w:rPr>
          <w:rFonts w:cs="Arial"/>
        </w:rPr>
      </w:pPr>
      <w:bookmarkStart w:id="66" w:name="_Toc195283955"/>
      <w:bookmarkStart w:id="67" w:name="_Toc201354849"/>
      <w:bookmarkStart w:id="68" w:name="_Toc201355461"/>
      <w:r w:rsidRPr="00F562E4">
        <w:rPr>
          <w:rFonts w:cs="Arial"/>
        </w:rPr>
        <w:t>Data collection</w:t>
      </w:r>
      <w:bookmarkEnd w:id="66"/>
      <w:bookmarkEnd w:id="67"/>
      <w:bookmarkEnd w:id="68"/>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69" w:name="_Toc195283956"/>
      <w:bookmarkStart w:id="70" w:name="_Toc201354850"/>
      <w:bookmarkStart w:id="71" w:name="_Toc201355462"/>
      <w:r w:rsidRPr="00F562E4">
        <w:rPr>
          <w:rFonts w:cs="Arial"/>
        </w:rPr>
        <w:t>Experiments</w:t>
      </w:r>
      <w:bookmarkEnd w:id="69"/>
      <w:bookmarkEnd w:id="70"/>
      <w:bookmarkEnd w:id="71"/>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2" w:name="_Toc195283957"/>
      <w:bookmarkStart w:id="73" w:name="_Toc201354851"/>
      <w:bookmarkStart w:id="74" w:name="_Toc201355463"/>
      <w:r w:rsidRPr="00F562E4">
        <w:rPr>
          <w:rFonts w:cs="Arial"/>
        </w:rPr>
        <w:t>Results</w:t>
      </w:r>
      <w:bookmarkEnd w:id="72"/>
      <w:bookmarkEnd w:id="73"/>
      <w:bookmarkEnd w:id="74"/>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75" w:name="_Toc195283958"/>
      <w:bookmarkStart w:id="76" w:name="_Toc201354852"/>
      <w:bookmarkStart w:id="77" w:name="_Toc201355464"/>
      <w:r w:rsidRPr="00F562E4">
        <w:rPr>
          <w:rFonts w:cs="Arial"/>
        </w:rPr>
        <w:t>Conclusion And Future Work</w:t>
      </w:r>
      <w:bookmarkEnd w:id="75"/>
      <w:bookmarkEnd w:id="76"/>
      <w:bookmarkEnd w:id="77"/>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78" w:name="_Toc201355465" w:displacedByCustomXml="next"/>
    <w:bookmarkStart w:id="79"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79"/>
          <w:bookmarkEnd w:id="78"/>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A9F1F" w14:textId="77777777" w:rsidR="00DC05F7" w:rsidRDefault="00DC05F7" w:rsidP="00CA0D56">
      <w:pPr>
        <w:spacing w:after="0" w:line="240" w:lineRule="auto"/>
      </w:pPr>
      <w:r>
        <w:separator/>
      </w:r>
    </w:p>
  </w:endnote>
  <w:endnote w:type="continuationSeparator" w:id="0">
    <w:p w14:paraId="124D7923" w14:textId="77777777" w:rsidR="00DC05F7" w:rsidRDefault="00DC05F7"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B3A23" w14:textId="77777777" w:rsidR="00DC05F7" w:rsidRDefault="00DC05F7" w:rsidP="00CA0D56">
      <w:pPr>
        <w:spacing w:after="0" w:line="240" w:lineRule="auto"/>
      </w:pPr>
      <w:r>
        <w:separator/>
      </w:r>
    </w:p>
  </w:footnote>
  <w:footnote w:type="continuationSeparator" w:id="0">
    <w:p w14:paraId="79639955" w14:textId="77777777" w:rsidR="00DC05F7" w:rsidRDefault="00DC05F7"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1"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2"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4"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3"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739522416">
    <w:abstractNumId w:val="6"/>
  </w:num>
  <w:num w:numId="2" w16cid:durableId="1077362295">
    <w:abstractNumId w:val="11"/>
  </w:num>
  <w:num w:numId="3" w16cid:durableId="7912473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2"/>
  </w:num>
  <w:num w:numId="6" w16cid:durableId="1322545893">
    <w:abstractNumId w:val="32"/>
  </w:num>
  <w:num w:numId="7" w16cid:durableId="17541650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3"/>
  </w:num>
  <w:num w:numId="12" w16cid:durableId="1574968918">
    <w:abstractNumId w:val="26"/>
  </w:num>
  <w:num w:numId="13" w16cid:durableId="474227551">
    <w:abstractNumId w:val="30"/>
  </w:num>
  <w:num w:numId="14" w16cid:durableId="240259829">
    <w:abstractNumId w:val="18"/>
  </w:num>
  <w:num w:numId="15" w16cid:durableId="2032292785">
    <w:abstractNumId w:val="0"/>
  </w:num>
  <w:num w:numId="16" w16cid:durableId="698548648">
    <w:abstractNumId w:val="28"/>
  </w:num>
  <w:num w:numId="17" w16cid:durableId="310863838">
    <w:abstractNumId w:val="10"/>
  </w:num>
  <w:num w:numId="18" w16cid:durableId="2114785991">
    <w:abstractNumId w:val="4"/>
  </w:num>
  <w:num w:numId="19" w16cid:durableId="730540148">
    <w:abstractNumId w:val="3"/>
  </w:num>
  <w:num w:numId="20" w16cid:durableId="2132285157">
    <w:abstractNumId w:val="16"/>
  </w:num>
  <w:num w:numId="21" w16cid:durableId="109518037">
    <w:abstractNumId w:val="5"/>
  </w:num>
  <w:num w:numId="22" w16cid:durableId="1975090297">
    <w:abstractNumId w:val="20"/>
  </w:num>
  <w:num w:numId="23" w16cid:durableId="19551854">
    <w:abstractNumId w:val="23"/>
  </w:num>
  <w:num w:numId="24" w16cid:durableId="1402871938">
    <w:abstractNumId w:val="24"/>
  </w:num>
  <w:num w:numId="25" w16cid:durableId="1695421262">
    <w:abstractNumId w:val="33"/>
  </w:num>
  <w:num w:numId="26" w16cid:durableId="964701760">
    <w:abstractNumId w:val="15"/>
  </w:num>
  <w:num w:numId="27" w16cid:durableId="1001200212">
    <w:abstractNumId w:val="19"/>
  </w:num>
  <w:num w:numId="28" w16cid:durableId="1440564796">
    <w:abstractNumId w:val="21"/>
  </w:num>
  <w:num w:numId="29" w16cid:durableId="158812860">
    <w:abstractNumId w:val="8"/>
  </w:num>
  <w:num w:numId="30" w16cid:durableId="1561207547">
    <w:abstractNumId w:val="12"/>
  </w:num>
  <w:num w:numId="31" w16cid:durableId="2127845377">
    <w:abstractNumId w:val="29"/>
  </w:num>
  <w:num w:numId="32" w16cid:durableId="1190416266">
    <w:abstractNumId w:val="14"/>
  </w:num>
  <w:num w:numId="33" w16cid:durableId="1611431739">
    <w:abstractNumId w:val="22"/>
  </w:num>
  <w:num w:numId="34" w16cid:durableId="159808646">
    <w:abstractNumId w:val="34"/>
  </w:num>
  <w:num w:numId="35" w16cid:durableId="58482471">
    <w:abstractNumId w:val="17"/>
  </w:num>
  <w:num w:numId="36" w16cid:durableId="1823887391">
    <w:abstractNumId w:val="31"/>
  </w:num>
  <w:num w:numId="37" w16cid:durableId="1215972038">
    <w:abstractNumId w:val="27"/>
  </w:num>
  <w:num w:numId="38" w16cid:durableId="1834367690">
    <w:abstractNumId w:val="7"/>
  </w:num>
  <w:num w:numId="39" w16cid:durableId="1211263880">
    <w:abstractNumId w:val="9"/>
  </w:num>
  <w:num w:numId="40" w16cid:durableId="2099011618">
    <w:abstractNumId w:val="25"/>
  </w:num>
  <w:num w:numId="41" w16cid:durableId="519852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4AF9"/>
    <w:rsid w:val="00015DBF"/>
    <w:rsid w:val="0002011A"/>
    <w:rsid w:val="00025624"/>
    <w:rsid w:val="0002589B"/>
    <w:rsid w:val="0002618A"/>
    <w:rsid w:val="00032061"/>
    <w:rsid w:val="00046617"/>
    <w:rsid w:val="0005197F"/>
    <w:rsid w:val="000550D1"/>
    <w:rsid w:val="000568C3"/>
    <w:rsid w:val="00056BF1"/>
    <w:rsid w:val="00067F39"/>
    <w:rsid w:val="0007301B"/>
    <w:rsid w:val="000805BD"/>
    <w:rsid w:val="00082D88"/>
    <w:rsid w:val="0008495C"/>
    <w:rsid w:val="0008536B"/>
    <w:rsid w:val="000853C3"/>
    <w:rsid w:val="00096344"/>
    <w:rsid w:val="00097E44"/>
    <w:rsid w:val="000A27BF"/>
    <w:rsid w:val="000A57BB"/>
    <w:rsid w:val="000C0EAC"/>
    <w:rsid w:val="000C3554"/>
    <w:rsid w:val="000E1901"/>
    <w:rsid w:val="000E2FD6"/>
    <w:rsid w:val="000E70DE"/>
    <w:rsid w:val="000F25AC"/>
    <w:rsid w:val="00101B16"/>
    <w:rsid w:val="00117EA5"/>
    <w:rsid w:val="00120A9B"/>
    <w:rsid w:val="00130E89"/>
    <w:rsid w:val="001313A0"/>
    <w:rsid w:val="00141BAD"/>
    <w:rsid w:val="001445E1"/>
    <w:rsid w:val="00145AD0"/>
    <w:rsid w:val="00147F14"/>
    <w:rsid w:val="00152F4C"/>
    <w:rsid w:val="00164CA9"/>
    <w:rsid w:val="00165FCD"/>
    <w:rsid w:val="001707DA"/>
    <w:rsid w:val="00175EB9"/>
    <w:rsid w:val="00183656"/>
    <w:rsid w:val="001872EE"/>
    <w:rsid w:val="00195366"/>
    <w:rsid w:val="00196B81"/>
    <w:rsid w:val="00197036"/>
    <w:rsid w:val="001B24EA"/>
    <w:rsid w:val="001C480B"/>
    <w:rsid w:val="001C5B2D"/>
    <w:rsid w:val="001C62EB"/>
    <w:rsid w:val="001C7051"/>
    <w:rsid w:val="001D055E"/>
    <w:rsid w:val="001D2BFF"/>
    <w:rsid w:val="001D5C32"/>
    <w:rsid w:val="001E2D9B"/>
    <w:rsid w:val="001F0258"/>
    <w:rsid w:val="001F2D56"/>
    <w:rsid w:val="001F3280"/>
    <w:rsid w:val="001F400B"/>
    <w:rsid w:val="00203CDC"/>
    <w:rsid w:val="0020622F"/>
    <w:rsid w:val="002071DE"/>
    <w:rsid w:val="002104AA"/>
    <w:rsid w:val="00212C56"/>
    <w:rsid w:val="00213ADD"/>
    <w:rsid w:val="002160D7"/>
    <w:rsid w:val="002249E3"/>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B0BA3"/>
    <w:rsid w:val="002B4328"/>
    <w:rsid w:val="002B533B"/>
    <w:rsid w:val="002B628D"/>
    <w:rsid w:val="002C4F5F"/>
    <w:rsid w:val="002C6316"/>
    <w:rsid w:val="002C7FB0"/>
    <w:rsid w:val="002D0805"/>
    <w:rsid w:val="002D220E"/>
    <w:rsid w:val="002D289D"/>
    <w:rsid w:val="002D559F"/>
    <w:rsid w:val="002E2DE5"/>
    <w:rsid w:val="002F2544"/>
    <w:rsid w:val="003019D6"/>
    <w:rsid w:val="00301D4A"/>
    <w:rsid w:val="00316595"/>
    <w:rsid w:val="00327BCB"/>
    <w:rsid w:val="003338DD"/>
    <w:rsid w:val="00337D2A"/>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6BF3"/>
    <w:rsid w:val="003F2600"/>
    <w:rsid w:val="003F370C"/>
    <w:rsid w:val="0040453C"/>
    <w:rsid w:val="00411C00"/>
    <w:rsid w:val="00416414"/>
    <w:rsid w:val="00416DA1"/>
    <w:rsid w:val="0042276C"/>
    <w:rsid w:val="00434C26"/>
    <w:rsid w:val="00435ED0"/>
    <w:rsid w:val="00437671"/>
    <w:rsid w:val="004415CD"/>
    <w:rsid w:val="0044244A"/>
    <w:rsid w:val="0044739E"/>
    <w:rsid w:val="00447ED7"/>
    <w:rsid w:val="0046068A"/>
    <w:rsid w:val="00462138"/>
    <w:rsid w:val="004641F4"/>
    <w:rsid w:val="00465B9A"/>
    <w:rsid w:val="00470FC6"/>
    <w:rsid w:val="00472B69"/>
    <w:rsid w:val="004742BA"/>
    <w:rsid w:val="004755FD"/>
    <w:rsid w:val="00475952"/>
    <w:rsid w:val="00477BF0"/>
    <w:rsid w:val="0048440F"/>
    <w:rsid w:val="00491F82"/>
    <w:rsid w:val="004A1A5F"/>
    <w:rsid w:val="004C4CCA"/>
    <w:rsid w:val="004C7AE4"/>
    <w:rsid w:val="004D4261"/>
    <w:rsid w:val="004D7C47"/>
    <w:rsid w:val="004F351E"/>
    <w:rsid w:val="004F58D8"/>
    <w:rsid w:val="004F7855"/>
    <w:rsid w:val="00502BC4"/>
    <w:rsid w:val="00513A78"/>
    <w:rsid w:val="00532285"/>
    <w:rsid w:val="00536301"/>
    <w:rsid w:val="00556804"/>
    <w:rsid w:val="00557841"/>
    <w:rsid w:val="0057235A"/>
    <w:rsid w:val="00575AF8"/>
    <w:rsid w:val="00581C04"/>
    <w:rsid w:val="00582D52"/>
    <w:rsid w:val="00583DAC"/>
    <w:rsid w:val="0059698B"/>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407"/>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05E36"/>
    <w:rsid w:val="00712EAB"/>
    <w:rsid w:val="00724956"/>
    <w:rsid w:val="00724FBB"/>
    <w:rsid w:val="0072674D"/>
    <w:rsid w:val="00735B33"/>
    <w:rsid w:val="00737BD2"/>
    <w:rsid w:val="007413FF"/>
    <w:rsid w:val="00746976"/>
    <w:rsid w:val="00751BB1"/>
    <w:rsid w:val="0075322E"/>
    <w:rsid w:val="007572C7"/>
    <w:rsid w:val="00760EA7"/>
    <w:rsid w:val="007700B1"/>
    <w:rsid w:val="007737A1"/>
    <w:rsid w:val="007749AF"/>
    <w:rsid w:val="00774A65"/>
    <w:rsid w:val="00783E42"/>
    <w:rsid w:val="00787D77"/>
    <w:rsid w:val="00792791"/>
    <w:rsid w:val="00793A4D"/>
    <w:rsid w:val="00795207"/>
    <w:rsid w:val="007A1FB9"/>
    <w:rsid w:val="007A2155"/>
    <w:rsid w:val="007A3596"/>
    <w:rsid w:val="007A4A4D"/>
    <w:rsid w:val="007B60D2"/>
    <w:rsid w:val="007C0450"/>
    <w:rsid w:val="007D76A5"/>
    <w:rsid w:val="007E0D6A"/>
    <w:rsid w:val="007F251A"/>
    <w:rsid w:val="007F44F7"/>
    <w:rsid w:val="00821E9F"/>
    <w:rsid w:val="00823428"/>
    <w:rsid w:val="00835538"/>
    <w:rsid w:val="00835932"/>
    <w:rsid w:val="008402EE"/>
    <w:rsid w:val="00850014"/>
    <w:rsid w:val="00850DC3"/>
    <w:rsid w:val="008631CA"/>
    <w:rsid w:val="0086542E"/>
    <w:rsid w:val="00880507"/>
    <w:rsid w:val="00884022"/>
    <w:rsid w:val="00890856"/>
    <w:rsid w:val="008A56E5"/>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447A2"/>
    <w:rsid w:val="00A55586"/>
    <w:rsid w:val="00A745D1"/>
    <w:rsid w:val="00A74CA7"/>
    <w:rsid w:val="00A7511C"/>
    <w:rsid w:val="00A81B62"/>
    <w:rsid w:val="00A97407"/>
    <w:rsid w:val="00AA3186"/>
    <w:rsid w:val="00AA3736"/>
    <w:rsid w:val="00AB7EE4"/>
    <w:rsid w:val="00AC0B5E"/>
    <w:rsid w:val="00AC4A16"/>
    <w:rsid w:val="00AD0D21"/>
    <w:rsid w:val="00AD4D81"/>
    <w:rsid w:val="00AD51C9"/>
    <w:rsid w:val="00B00426"/>
    <w:rsid w:val="00B00B77"/>
    <w:rsid w:val="00B00FB7"/>
    <w:rsid w:val="00B11798"/>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BB6"/>
    <w:rsid w:val="00BC6D7E"/>
    <w:rsid w:val="00BD4D02"/>
    <w:rsid w:val="00BE344A"/>
    <w:rsid w:val="00BE38F5"/>
    <w:rsid w:val="00BE5B53"/>
    <w:rsid w:val="00BE638A"/>
    <w:rsid w:val="00BF3C2B"/>
    <w:rsid w:val="00BF7E85"/>
    <w:rsid w:val="00C036E0"/>
    <w:rsid w:val="00C046BA"/>
    <w:rsid w:val="00C04D36"/>
    <w:rsid w:val="00C14AB0"/>
    <w:rsid w:val="00C14D61"/>
    <w:rsid w:val="00C20851"/>
    <w:rsid w:val="00C24056"/>
    <w:rsid w:val="00C30565"/>
    <w:rsid w:val="00C378D3"/>
    <w:rsid w:val="00C42155"/>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439E2"/>
    <w:rsid w:val="00D469D6"/>
    <w:rsid w:val="00D56191"/>
    <w:rsid w:val="00D61C15"/>
    <w:rsid w:val="00D7273A"/>
    <w:rsid w:val="00D7273D"/>
    <w:rsid w:val="00D85147"/>
    <w:rsid w:val="00D85824"/>
    <w:rsid w:val="00D93628"/>
    <w:rsid w:val="00DA3A43"/>
    <w:rsid w:val="00DB0AD0"/>
    <w:rsid w:val="00DB3366"/>
    <w:rsid w:val="00DB484E"/>
    <w:rsid w:val="00DC05F7"/>
    <w:rsid w:val="00DD028F"/>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F16"/>
    <w:rsid w:val="00E60979"/>
    <w:rsid w:val="00E66043"/>
    <w:rsid w:val="00E67469"/>
    <w:rsid w:val="00E73463"/>
    <w:rsid w:val="00E75BBE"/>
    <w:rsid w:val="00E87B24"/>
    <w:rsid w:val="00E93EB4"/>
    <w:rsid w:val="00E95240"/>
    <w:rsid w:val="00E97669"/>
    <w:rsid w:val="00EB77FA"/>
    <w:rsid w:val="00EC4786"/>
    <w:rsid w:val="00ED71BA"/>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42621"/>
    <w:rsid w:val="00F51EED"/>
    <w:rsid w:val="00F534D6"/>
    <w:rsid w:val="00F53BFC"/>
    <w:rsid w:val="00F562E4"/>
    <w:rsid w:val="00F56763"/>
    <w:rsid w:val="00F71526"/>
    <w:rsid w:val="00F7699D"/>
    <w:rsid w:val="00F8384B"/>
    <w:rsid w:val="00F91EFC"/>
    <w:rsid w:val="00F94A68"/>
    <w:rsid w:val="00FA044F"/>
    <w:rsid w:val="00FA095C"/>
    <w:rsid w:val="00FA23B6"/>
    <w:rsid w:val="00FB2697"/>
    <w:rsid w:val="00FB73F2"/>
    <w:rsid w:val="00FC202F"/>
    <w:rsid w:val="00FC4E50"/>
    <w:rsid w:val="00FD781B"/>
    <w:rsid w:val="00FE09DA"/>
    <w:rsid w:val="00FE52E0"/>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b:Tag>
    <b:SourceType>JournalArticle</b:SourceType>
    <b:Guid>{8FAF749B-5C12-4033-9197-01604CD5D6DB}</b:Guid>
    <b:Author>
      <b:Author>
        <b:NameList>
          <b:Person>
            <b:Last>Miltos</b:Last>
            <b:First>Kyriakidis</b:First>
          </b:Person>
          <b:Person>
            <b:Last>Robin</b:Last>
            <b:First>Hirsch</b:First>
          </b:Person>
          <b:Person>
            <b:Last>Arnab</b:Last>
            <b:First>Majumdar</b:First>
          </b:Person>
        </b:NameList>
      </b:Author>
    </b:Author>
    <b:Title>Metro railway safety: An analysis of accident precursors</b:Title>
    <b:JournalName>Safety Science</b:JournalName>
    <b:Year>2012</b:Year>
    <b:Pages>1535-1548</b:Pages>
    <b:Volume>50</b:Volume>
    <b:Issue>7</b:Issue>
    <b:RefOrder>19</b:RefOrder>
  </b:Source>
  <b:Source>
    <b:Tag>1</b:Tag>
    <b:SourceType>JournalArticle</b:SourceType>
    <b:Guid>{B08432A4-B76F-45A7-BF5C-3511567532A4}</b:Guid>
    <b:Author>
      <b:Author>
        <b:NameList>
          <b:Person>
            <b:Last>Cao</b:Last>
            <b:First>Yuan</b:First>
          </b:Person>
          <b:Person>
            <b:Last>An</b:Last>
            <b:First>Yuntong</b:First>
          </b:Person>
          <b:Person>
            <b:Last>Shuai</b:Last>
            <b:First>Su</b:First>
          </b:Person>
          <b:Person>
            <b:Last>Xie</b:Last>
            <b:First>Guo</b:First>
          </b:Person>
          <b:Person>
            <b:Last>Sun</b:Last>
            <b:First>Yongkui</b:First>
          </b:Person>
        </b:NameList>
      </b:Author>
    </b:Author>
    <b:Title>A statistical study of railway safety in China and Japan 1990–2020</b:Title>
    <b:JournalName>Accident Analysis &amp; Prevention</b:JournalName>
    <b:Year>2022</b:Year>
    <b:DOI>https://doi.org/10.1016/j.aap.2022.106764</b:DOI>
    <b:Volume>175</b:Volume>
    <b:StandardNumber>ISSN: 0001-4575; Article ID: 106764</b:StandardNumber>
    <b:RefOrder>20</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10</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11</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12</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13</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14</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17</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18</b:RefOrder>
  </b:Source>
</b:Sources>
</file>

<file path=customXml/itemProps1.xml><?xml version="1.0" encoding="utf-8"?>
<ds:datastoreItem xmlns:ds="http://schemas.openxmlformats.org/officeDocument/2006/customXml" ds:itemID="{323D63EB-9565-E54B-A854-15128972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23</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329</cp:revision>
  <cp:lastPrinted>2025-03-27T09:50:00Z</cp:lastPrinted>
  <dcterms:created xsi:type="dcterms:W3CDTF">2025-02-24T06:59:00Z</dcterms:created>
  <dcterms:modified xsi:type="dcterms:W3CDTF">2025-06-23T02:00:00Z</dcterms:modified>
</cp:coreProperties>
</file>