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등기부의 마지막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인감증명서(발급 3개월 이내)가 있는지와 소유자와 직접 통화해 위임 사실을 확인했는지,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전국 전세 거래 × 부산 인구 비중(324만 명, 전국의 약 6%) 가정</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4.6만 건, 약 4.6억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460건(약 460만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Expo(React Native, Expo Router). 한 코드로 웹(PWA)·안드로이드·iOS, MVP 시연은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