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앞당김(기한은 계약일, 임대차 신고를 기다리지 않음).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계약이거나 보증금 비율 90% 이상이면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(전입신고가 더 늦거나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잔금일과 전입신고일 중 늦은 날부터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얼마(지금 집 보증금과 다음 집 잔금(보증금 − 계약금) 중 작은 금액)가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등기부의 마지막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인감증명서가 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전국 전세 거래 × 부산 인구 비중(324만 명, 전국의 약 6%) 가정</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4.6만 건, 약 4.6억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460건(약 460만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React 기반 모바일 웹(PWA)</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