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등기부의 마지막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인감증명서가 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전국 전세 거래 × 부산 인구 비중(324만 명, 전국의 약 6%) 가정</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4.6만 건, 약 4.6억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460건(약 460만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시연 집 2채만 미리 매칭해 두고, 나머지는 공시가격을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주소 표준화 후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React 기반 모바일 웹(PWA)</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공시가격·건축물대장(시연 집은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