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바로 다음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등기부의 마지막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인감증명서가 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전국 전세 거래 × 부산 인구 비중(324만 명, 전국의 약 6%) 가정</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4.6만 건, 약 4.6억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460건(약 460만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React 기반 모바일 웹(PWA)</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