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[회사명 입력]</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바로 다음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등기부의 마지막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인감증명서가 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전국 전세 거래 × 부산 인구 비중(324만 명, 전국의 약 6%) 가정</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4.6만 건, 약 4.6억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460건(약 460만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시연 집 2채만 미리 매칭해 두고, 나머지는 공시가격을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주소 표준화 후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"주요 등기사항 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React 기반 모바일 웹(PWA)</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공시가격·건축물대장(시연 집은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 + 서버 스케줄러(APScheduler), ICS 파일 생성. 증빙 사진은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