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(전입신고가 더 늦거나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넣으면(아파트·연립다세대는 주소·동·호로 공시가격을 찾아 채움)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브이월드 API로 주소·동·호마다 조회),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뒤 PDF로 저장한 "부동산정보요약"(또는 등기사항증명서 마지막의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"부동산정보요약"을 PDF로 저장해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2025년 부산 주택·오피스텔 전세 거래 43,941건(국토부 전월세 실거래, 전국의 5.7%)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4.4만 건(신규 계약 약 3.4만 건), 약 4.4억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440건(약 440만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공동주택 공시가격은 브이월드 API로 주소·동·호를 골라 조회(실패·오피스텔은 직접 입력), 건축물대장은 시연 집 2채만 미리 매칭</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건축물대장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등기부 요약("부동산정보요약"·"주요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안드로이드·iOS 앱, MVP 시연은 휴대폰 앱(Expo Go). 웹은 개발 편의용</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등기부 요약("부동산정보요약"·"주요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공시가격(브이월드 API, 시연 집은 미리 매칭), 건축물대장(시연 집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 + 서버 스케줄러(APScheduler), ICS 파일 생성. 증빙 사진은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