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договор-поставки-дп-2026147"/>
    <w:p>
      <w:pPr>
        <w:pStyle w:val="Heading1"/>
      </w:pPr>
      <w:r>
        <w:t xml:space="preserve">ДОГОВОР ПОСТАВКИ № ДП-2026/147</w:t>
      </w:r>
    </w:p>
    <w:p>
      <w:pPr>
        <w:pStyle w:val="FirstParagraph"/>
      </w:pPr>
      <w:r>
        <w:t xml:space="preserve">г. Москва, 1 октября 2026 г.</w:t>
      </w:r>
    </w:p>
    <w:p>
      <w:pPr>
        <w:pStyle w:val="BodyText"/>
      </w:pPr>
      <w:r>
        <w:t xml:space="preserve">Акционерное общество «Дамате», именуемое в дальнейшем «Поставщик», в лице коммерческого директора Гусевой М. В., действующей на основании доверенности, с одной стороны, и Общество с ограниченной ответственностью «Ветразь», именуемое в дальнейшем «Покупатель», в лице директора по закупкам Селиванова А. П., с другой стороны, заключили настоящий Договор о нижеследующем.</w:t>
      </w:r>
    </w:p>
    <w:bookmarkStart w:id="9" w:name="предмет-договора"/>
    <w:p>
      <w:pPr>
        <w:pStyle w:val="Heading2"/>
      </w:pPr>
      <w:r>
        <w:t xml:space="preserve">1. Предмет договора</w:t>
      </w:r>
    </w:p>
    <w:p>
      <w:pPr>
        <w:pStyle w:val="FirstParagraph"/>
      </w:pPr>
      <w:r>
        <w:t xml:space="preserve">1.1. Поставщик обязуется поставлять, а Покупатель принимать и оплачивать продукцию из мяса индейки (далее — Товар) в ассортименте, количестве и по ценам, согласованным Сторонами в спецификациях к настоящему Договору.</w:t>
      </w:r>
    </w:p>
    <w:p>
      <w:pPr>
        <w:pStyle w:val="BodyText"/>
      </w:pPr>
      <w:r>
        <w:t xml:space="preserve">1.2. Спецификация является неотъемлемой частью Договора и оформляется на каждую партию Товара.</w:t>
      </w:r>
    </w:p>
    <w:p>
      <w:pPr>
        <w:pStyle w:val="BodyText"/>
      </w:pPr>
      <w:r>
        <w:t xml:space="preserve">1.3. Право собственности на Товар переходит к Покупателю в момент подписания товарной накладной уполномоченным представителем Покупателя.</w:t>
      </w:r>
    </w:p>
    <w:bookmarkEnd w:id="9"/>
    <w:bookmarkStart w:id="10" w:name="качество-товара"/>
    <w:p>
      <w:pPr>
        <w:pStyle w:val="Heading2"/>
      </w:pPr>
      <w:r>
        <w:t xml:space="preserve">2. Качество товара</w:t>
      </w:r>
    </w:p>
    <w:p>
      <w:pPr>
        <w:pStyle w:val="FirstParagraph"/>
      </w:pPr>
      <w:r>
        <w:t xml:space="preserve">2.1. Качество поставляемого Товара должно соответствовать требованиям ГОСТ Р 55365-2012, техническим условиям Поставщика ТУ 10.13.14-004-45678912-2021 и подтверждаться декларацией о соответствии.</w:t>
      </w:r>
    </w:p>
    <w:p>
      <w:pPr>
        <w:pStyle w:val="BodyText"/>
      </w:pPr>
      <w:r>
        <w:t xml:space="preserve">2.2. Поставщик гарантирует соблюдение температурного режима хранения и транспортировки в диапазоне от 0 до +2 °С для охлаждённой продукции и не выше минус 18 °С для замороженной.</w:t>
      </w:r>
    </w:p>
    <w:p>
      <w:pPr>
        <w:pStyle w:val="BodyText"/>
      </w:pPr>
      <w:r>
        <w:t xml:space="preserve">2.3. Срок годности Товара на момент передачи Покупателю должен составлять не менее 70 процентов от установленного производителем.</w:t>
      </w:r>
    </w:p>
    <w:p>
      <w:pPr>
        <w:pStyle w:val="BodyText"/>
      </w:pPr>
      <w:r>
        <w:t xml:space="preserve">2.4. На каждую партию Товара Поставщик предоставляет ветеринарное сопроводительное свидетельство, оформленное в системе «Меркурий».</w:t>
      </w:r>
    </w:p>
    <w:bookmarkEnd w:id="10"/>
    <w:bookmarkStart w:id="11" w:name="порядок-поставки"/>
    <w:p>
      <w:pPr>
        <w:pStyle w:val="Heading2"/>
      </w:pPr>
      <w:r>
        <w:t xml:space="preserve">3. Порядок поставки</w:t>
      </w:r>
    </w:p>
    <w:p>
      <w:pPr>
        <w:pStyle w:val="FirstParagraph"/>
      </w:pPr>
      <w:r>
        <w:t xml:space="preserve">3.1. Поставка осуществляется отдельными партиями на основании заказов Покупателя.</w:t>
      </w:r>
    </w:p>
    <w:p>
      <w:pPr>
        <w:pStyle w:val="BodyText"/>
      </w:pPr>
      <w:r>
        <w:t xml:space="preserve">3.2. Заказ направляется Покупателем не позднее чем за 3 (три) рабочих дня до планируемой даты поставки.</w:t>
      </w:r>
    </w:p>
    <w:p>
      <w:pPr>
        <w:pStyle w:val="BodyText"/>
      </w:pPr>
      <w:r>
        <w:t xml:space="preserve">3.3. Поставщик подтверждает заказ в течение 1 (одного) рабочего дня с момента получения.</w:t>
      </w:r>
    </w:p>
    <w:p>
      <w:pPr>
        <w:pStyle w:val="BodyText"/>
      </w:pPr>
      <w:r>
        <w:t xml:space="preserve">3.4. Место поставки — распределительный центр Покупателя, указанный в заказе.</w:t>
      </w:r>
    </w:p>
    <w:p>
      <w:pPr>
        <w:pStyle w:val="BodyText"/>
      </w:pPr>
      <w:r>
        <w:t xml:space="preserve">3.5. Поставщик обязан обеспечить уровень исполнения заказов не менее 95 процентов от подтверждённого объёма.</w:t>
      </w:r>
    </w:p>
    <w:p>
      <w:pPr>
        <w:pStyle w:val="BodyText"/>
      </w:pPr>
      <w:r>
        <w:t xml:space="preserve">3.6. Изменение подтверждённого заказа допускается по письменному согласованию Сторон не позднее чем за 2 (два) рабочих дня до даты поставки.</w:t>
      </w:r>
    </w:p>
    <w:bookmarkEnd w:id="11"/>
    <w:bookmarkStart w:id="12" w:name="цена-и-порядок-расчётов"/>
    <w:p>
      <w:pPr>
        <w:pStyle w:val="Heading2"/>
      </w:pPr>
      <w:r>
        <w:t xml:space="preserve">4. Цена и порядок расчётов</w:t>
      </w:r>
    </w:p>
    <w:p>
      <w:pPr>
        <w:pStyle w:val="FirstParagraph"/>
      </w:pPr>
      <w:r>
        <w:t xml:space="preserve">4.1. Цена Товара устанавливается в спецификации и включает налог на добавленную стоимость, стоимость упаковки и доставки до места поставки.</w:t>
      </w:r>
    </w:p>
    <w:p>
      <w:pPr>
        <w:pStyle w:val="BodyText"/>
      </w:pPr>
      <w:r>
        <w:t xml:space="preserve">4.2. Изменение цены производится по письменному соглашению Сторон с уведомлением не менее чем за 30 (тридцать) календарных дней.</w:t>
      </w:r>
    </w:p>
    <w:p>
      <w:pPr>
        <w:pStyle w:val="BodyText"/>
      </w:pPr>
      <w:r>
        <w:t xml:space="preserve">4.3. Покупатель производит оплату поставленного Товара в течение 30 (тридцати) календарных дней с даты приёмки партии.</w:t>
      </w:r>
    </w:p>
    <w:p>
      <w:pPr>
        <w:pStyle w:val="BodyText"/>
      </w:pPr>
      <w:r>
        <w:t xml:space="preserve">4.4. Обязательство Покупателя по оплате считается исполненным с момента зачисления денежных средств на расчётный счёт Поставщика.</w:t>
      </w:r>
    </w:p>
    <w:p>
      <w:pPr>
        <w:pStyle w:val="BodyText"/>
      </w:pPr>
      <w:r>
        <w:t xml:space="preserve">4.5. При росте стоимости кормов более чем на 15 процентов к уровню на дату заключения Договора Стороны проводят переговоры об индексации цены. Переговоры инициируются письменным уведомлением и проводятся в срок не более 20 календарных дней.</w:t>
      </w:r>
    </w:p>
    <w:p>
      <w:pPr>
        <w:pStyle w:val="BodyText"/>
      </w:pPr>
      <w:r>
        <w:t xml:space="preserve">4.6. Ретроспективный бонус Покупателю за выполнение планового объёма закупки составляет 5 (пять) процентов от стоимости поставленного Товара за отчётный период и выплачивается по итогам квартала.</w:t>
      </w:r>
    </w:p>
    <w:bookmarkEnd w:id="12"/>
    <w:bookmarkStart w:id="13" w:name="приёмка-товара"/>
    <w:p>
      <w:pPr>
        <w:pStyle w:val="Heading2"/>
      </w:pPr>
      <w:r>
        <w:t xml:space="preserve">5. Приёмка товара</w:t>
      </w:r>
    </w:p>
    <w:p>
      <w:pPr>
        <w:pStyle w:val="FirstParagraph"/>
      </w:pPr>
      <w:r>
        <w:t xml:space="preserve">5.1. Приёмка Товара по количеству производится в момент передачи Товара в месте поставки.</w:t>
      </w:r>
    </w:p>
    <w:p>
      <w:pPr>
        <w:pStyle w:val="BodyText"/>
      </w:pPr>
      <w:r>
        <w:t xml:space="preserve">5.2. Претензии по количеству и явным недостаткам предъявляются в момент приёмки с составлением двустороннего акта.</w:t>
      </w:r>
    </w:p>
    <w:p>
      <w:pPr>
        <w:pStyle w:val="BodyText"/>
      </w:pPr>
      <w:r>
        <w:t xml:space="preserve">5.3. При обнаружении расхождений вызов представителя Поставщика обязателен. Представитель обязан прибыть в течение 24 (двадцати четырёх) часов.</w:t>
      </w:r>
    </w:p>
    <w:p>
      <w:pPr>
        <w:pStyle w:val="BodyText"/>
      </w:pPr>
      <w:r>
        <w:t xml:space="preserve">5.4. Приёмка Товара по качеству производится в течение 24 (двадцати четырёх) часов с момента поставки. Скрытые недостатки могут быть заявлены в течение срока годности Товара.</w:t>
      </w:r>
    </w:p>
    <w:p>
      <w:pPr>
        <w:pStyle w:val="BodyText"/>
      </w:pPr>
      <w:r>
        <w:t xml:space="preserve">5.5. Товар, не соответствующий требованиям раздела 2, подлежит возврату Поставщику за его счёт.</w:t>
      </w:r>
    </w:p>
    <w:bookmarkEnd w:id="13"/>
    <w:bookmarkStart w:id="14" w:name="ответственность-сторон"/>
    <w:p>
      <w:pPr>
        <w:pStyle w:val="Heading2"/>
      </w:pPr>
      <w:r>
        <w:t xml:space="preserve">6. Ответственность сторон</w:t>
      </w:r>
    </w:p>
    <w:p>
      <w:pPr>
        <w:pStyle w:val="FirstParagraph"/>
      </w:pPr>
      <w:r>
        <w:t xml:space="preserve">6.1. За просрочку оплаты Покупатель уплачивает Поставщику пеню в размере 0,1 (ноль целых одна десятая) процента от суммы задолженности за каждый день просрочки, но не более 10 процентов от суммы задолженности.</w:t>
      </w:r>
    </w:p>
    <w:p>
      <w:pPr>
        <w:pStyle w:val="BodyText"/>
      </w:pPr>
      <w:r>
        <w:t xml:space="preserve">6.2. За недопоставку или просрочку поставки Поставщик уплачивает Покупателю штраф в размере 0,1 (ноль целых одна десятая) процента от стоимости недопоставленного Товара за каждый день просрочки, но не более 10 процентов от стоимости недопоставленного Товара.</w:t>
      </w:r>
    </w:p>
    <w:p>
      <w:pPr>
        <w:pStyle w:val="BodyText"/>
      </w:pPr>
      <w:r>
        <w:t xml:space="preserve">6.3. Совокупный размер ответственности каждой из Сторон по настоящему Договору не может превышать 10 процентов от стоимости поставок за квартал, в котором допущено нарушение.</w:t>
      </w:r>
    </w:p>
    <w:p>
      <w:pPr>
        <w:pStyle w:val="BodyText"/>
      </w:pPr>
      <w:r>
        <w:t xml:space="preserve">6.4. Стороны освобождаются от ответственности при наступлении обстоятельств непреодолимой силы, подтверждённых уполномоченным органом.</w:t>
      </w:r>
    </w:p>
    <w:bookmarkEnd w:id="14"/>
    <w:bookmarkStart w:id="15" w:name="конфиденциальность"/>
    <w:p>
      <w:pPr>
        <w:pStyle w:val="Heading2"/>
      </w:pPr>
      <w:r>
        <w:t xml:space="preserve">7. Конфиденциальность</w:t>
      </w:r>
    </w:p>
    <w:p>
      <w:pPr>
        <w:pStyle w:val="FirstParagraph"/>
      </w:pPr>
      <w:r>
        <w:t xml:space="preserve">7.1. Стороны обязуются не разглашать условия настоящего Договора и коммерческую информацию, полученную в ходе его исполнения, в течение срока действия Договора и 3 (трёх) лет после его прекращения.</w:t>
      </w:r>
    </w:p>
    <w:bookmarkEnd w:id="15"/>
    <w:bookmarkStart w:id="16" w:name="уведомления"/>
    <w:p>
      <w:pPr>
        <w:pStyle w:val="Heading2"/>
      </w:pPr>
      <w:r>
        <w:t xml:space="preserve">8. Уведомления</w:t>
      </w:r>
    </w:p>
    <w:p>
      <w:pPr>
        <w:pStyle w:val="FirstParagraph"/>
      </w:pPr>
      <w:r>
        <w:t xml:space="preserve">8.1. Юридически значимые уведомления направляются заказным письмом с уведомлением о вручении по адресам, указанным в разделе 11, либо вручаются под роспись.</w:t>
      </w:r>
    </w:p>
    <w:p>
      <w:pPr>
        <w:pStyle w:val="BodyText"/>
      </w:pPr>
      <w:r>
        <w:t xml:space="preserve">8.2. Оперативная переписка ведётся по адресам электронной почты, указанным в разделе 11, и не заменяет юридически значимые уведомления.</w:t>
      </w:r>
    </w:p>
    <w:bookmarkEnd w:id="16"/>
    <w:bookmarkStart w:id="17" w:name="разрешение-споров"/>
    <w:p>
      <w:pPr>
        <w:pStyle w:val="Heading2"/>
      </w:pPr>
      <w:r>
        <w:t xml:space="preserve">9. Разрешение споров</w:t>
      </w:r>
    </w:p>
    <w:p>
      <w:pPr>
        <w:pStyle w:val="FirstParagraph"/>
      </w:pPr>
      <w:r>
        <w:t xml:space="preserve">9.1. Стороны принимают меры к урегулированию споров путём переговоров. Претензионный порядок обязателен, срок ответа на претензию — 15 календарных дней.</w:t>
      </w:r>
    </w:p>
    <w:p>
      <w:pPr>
        <w:pStyle w:val="BodyText"/>
      </w:pPr>
      <w:r>
        <w:t xml:space="preserve">9.2. При недостижении согласия спор передаётся на рассмотрение Арбитражного суда по месту нахождения Поставщика.</w:t>
      </w:r>
    </w:p>
    <w:bookmarkEnd w:id="17"/>
    <w:bookmarkStart w:id="18" w:name="срок-действия"/>
    <w:p>
      <w:pPr>
        <w:pStyle w:val="Heading2"/>
      </w:pPr>
      <w:r>
        <w:t xml:space="preserve">10. Срок действия</w:t>
      </w:r>
    </w:p>
    <w:p>
      <w:pPr>
        <w:pStyle w:val="FirstParagraph"/>
      </w:pPr>
      <w:r>
        <w:t xml:space="preserve">10.1. Договор вступает в силу с даты подписания и действует 1 (один) год. Договор автоматически продлевается на каждый следующий год, если ни одна из Сторон не заявит о прекращении не позднее чем за 30 календарных дней до окончания срока.</w:t>
      </w:r>
    </w:p>
    <w:p>
      <w:pPr>
        <w:pStyle w:val="BodyText"/>
      </w:pPr>
      <w:r>
        <w:t xml:space="preserve">10.2. Досрочное расторжение возможно по соглашению Сторон либо в одностороннем порядке с письменным уведомлением не менее чем за 60 календарных дней.</w:t>
      </w:r>
    </w:p>
    <w:bookmarkEnd w:id="18"/>
    <w:bookmarkStart w:id="19" w:name="адреса-и-реквизиты-сторон"/>
    <w:p>
      <w:pPr>
        <w:pStyle w:val="Heading2"/>
      </w:pPr>
      <w:r>
        <w:t xml:space="preserve">11. Адреса и реквизиты сторон</w:t>
      </w:r>
    </w:p>
    <w:p>
      <w:pPr>
        <w:pStyle w:val="FirstParagraph"/>
      </w:pPr>
      <w:r>
        <w:t xml:space="preserve">Поставщик: АО «Дамате», 440000, г. Пенза, ул. Производственная, д. 1. Электронная почта для оперативной переписки: sales@damate-example.ru</w:t>
      </w:r>
    </w:p>
    <w:p>
      <w:pPr>
        <w:pStyle w:val="BodyText"/>
      </w:pPr>
      <w:r>
        <w:t xml:space="preserve">Покупатель: ООО «Ветразь», 123001, г. Москва, ул. Торговая, д. 14. Электронная почта для оперативной переписки: zakupki@vetraz-example.ru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2026-09-23T15:26:58Z</dcterms:created>
  <dcterms:modified xsi:type="dcterms:W3CDTF">2026-09-23T15:26:58Z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