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поставки ДП-2026/147 от 01.10.2026</w:t>
      </w:r>
    </w:p>
    <w:p>
      <w:r>
        <w:t>Редакция покупателя от 06.10.2026. Учебный фрагмент. Поставщик - АО «Дамате» (наша сторона); Покупатель - ООО «Ветразь».</w:t>
      </w:r>
    </w:p>
    <w:p>
      <w:r>
        <w:t>1.1. Поставка индейки по спецификациям; собственность переходит при подписании накладной.</w:t>
      </w:r>
    </w:p>
    <w:p>
      <w:r>
        <w:t>2.1. Поставщик обеспечивает надлежащее качество по обычно предъявляемым требованиям.</w:t>
      </w:r>
    </w:p>
    <w:p>
      <w:r>
        <w:t>2.2. Температура: охлаждённая продукция 0…+2 °C, замороженная не выше -18 °C.</w:t>
      </w:r>
    </w:p>
    <w:p>
      <w:r>
        <w:t>2.3. Остаточный срок годности при передаче - не менее 60%.</w:t>
      </w:r>
    </w:p>
    <w:p>
      <w:r>
        <w:t>3.2. Заказ за 3 рабочих дня; подтверждение за 1 рабочий день.</w:t>
      </w:r>
    </w:p>
    <w:p>
      <w:r>
        <w:t>3.5. Исполнение не менее 98% подтверждённого объёма.</w:t>
      </w:r>
    </w:p>
    <w:p>
      <w:r>
        <w:t>3.6. Изменение заказа письменно согласуется сторонами за 2 рабочих дня.</w:t>
      </w:r>
    </w:p>
    <w:p>
      <w:r>
        <w:t>3.7. Покупатель вправе отказаться от заказа за 3 календарных дня без санкций.</w:t>
      </w:r>
    </w:p>
    <w:p>
      <w:r>
        <w:t>4.1. Цена включает НДС, упаковку и доставку.</w:t>
      </w:r>
    </w:p>
    <w:p>
      <w:r>
        <w:t>4.2. Изменение цены по письменному соглашению с уведомлением за 30 календарных дней.</w:t>
      </w:r>
    </w:p>
    <w:p>
      <w:r>
        <w:t>4.3. Оплата за 45 календарных дней от приёмки.</w:t>
      </w:r>
    </w:p>
    <w:p>
      <w:r>
        <w:t>4.5. Квартальный ретробонус покупателю - 9% стоимости поставок.</w:t>
      </w:r>
    </w:p>
    <w:p>
      <w:r>
        <w:t>5.2. Количество и явные недостатки фиксируются при приёмке двусторонним актом.</w:t>
      </w:r>
    </w:p>
    <w:p>
      <w:r>
        <w:t>5.4. Приёмка по качеству за 5 рабочих дней; скрытые недостатки - в пределах срока годности.</w:t>
      </w:r>
    </w:p>
    <w:p>
      <w:r>
        <w:t>6.1. Пеня покупателю за задержку оплаты - 0,1% в день, максимум 10% долга.</w:t>
      </w:r>
    </w:p>
    <w:p>
      <w:r>
        <w:t>6.2. Штраф поставщику за недопоставку - 0,5% в день.</w:t>
      </w:r>
    </w:p>
    <w:p>
      <w:r>
        <w:t>6.3. Совокупная ответственность покупателя - не более 10% квартальных поставок.</w:t>
      </w:r>
    </w:p>
    <w:p>
      <w:r>
        <w:t>8.1. Значимые уведомления по электронной почте считаются полученными в день отправки.</w:t>
      </w:r>
    </w:p>
    <w:p>
      <w:r>
        <w:t>8.2. Электронная почта только для оперативной переписки.</w:t>
      </w:r>
    </w:p>
    <w:p>
      <w:r>
        <w:t>9.2. Споры по месту нахождения покупателя.</w:t>
      </w:r>
    </w:p>
    <w:p>
      <w:r>
        <w:t>10.1. Срок - 3 года. Цена не меняется весь срок договора.</w:t>
      </w:r>
    </w:p>
    <w:p>
      <w:r>
        <w:t>10.2. Досрочный односторонний отказ с письменным уведомлением за 60 дней.</w:t>
      </w:r>
    </w:p>
    <w:sectPr w:rsidR="00FC693F" w:rsidRPr="0006063C" w:rsidSect="00034616"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ДП-2026/147 от 01.10.2026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