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Договор поставки ДП-2026/147 от 01.10.2026</w:t>
      </w:r>
    </w:p>
    <w:p>
      <w:r>
        <w:t>Учебная сокращённая редакция. Поставщик - АО «Дамате» (наша сторона); Покупатель - ООО «Ветразь».</w:t>
      </w:r>
    </w:p>
    <w:p>
      <w:r>
        <w:t>1.1. Поставка индейки по спецификациям; собственность переходит при подписании накладной.</w:t>
      </w:r>
    </w:p>
    <w:p>
      <w:r>
        <w:t>2.1. Качество соответствует ГОСТ Р 55365-2012 и ТУ производителя, подтверждается декларацией.</w:t>
      </w:r>
    </w:p>
    <w:p>
      <w:r>
        <w:t>2.2. Температура: охлаждённая продукция 0…+2 °C, замороженная не выше -18 °C.</w:t>
      </w:r>
    </w:p>
    <w:p>
      <w:r>
        <w:t>2.3. Остаточный срок годности при передаче - не менее 70%.</w:t>
      </w:r>
    </w:p>
    <w:p>
      <w:r>
        <w:t>2.4. На каждую партию предоставляется ветсвидетельство в «Меркурии».</w:t>
      </w:r>
    </w:p>
    <w:p>
      <w:r>
        <w:t>3.2. Заказ за 3 рабочих дня; подтверждение за 1 рабочий день.</w:t>
      </w:r>
    </w:p>
    <w:p>
      <w:r>
        <w:t>3.5. Исполнение не менее 95% подтверждённого объёма.</w:t>
      </w:r>
    </w:p>
    <w:p>
      <w:r>
        <w:t>3.6. Изменение заказа письменно согласуется сторонами за 2 рабочих дня.</w:t>
      </w:r>
    </w:p>
    <w:p>
      <w:r>
        <w:t>4.1. Цена включает НДС, упаковку и доставку.</w:t>
      </w:r>
    </w:p>
    <w:p>
      <w:r>
        <w:t>4.2. Изменение цены по письменному соглашению с уведомлением за 30 календарных дней.</w:t>
      </w:r>
    </w:p>
    <w:p>
      <w:r>
        <w:t>4.3. Оплата за 30 календарных дней от приёмки.</w:t>
      </w:r>
    </w:p>
    <w:p>
      <w:r>
        <w:t>4.5. При росте кормов более 15% стороны проводят переговоры об индексации за 20 календарных дней после уведомления.</w:t>
      </w:r>
    </w:p>
    <w:p>
      <w:r>
        <w:t>4.6. Квартальный ретробонус покупателю - 5% стоимости поставок.</w:t>
      </w:r>
    </w:p>
    <w:p>
      <w:r>
        <w:t>5.2. Количество и явные недостатки фиксируются при приёмке двусторонним актом.</w:t>
      </w:r>
    </w:p>
    <w:p>
      <w:r>
        <w:t>5.4. Приёмка по качеству за 24 часа; скрытые недостатки - в пределах срока годности.</w:t>
      </w:r>
    </w:p>
    <w:p>
      <w:r>
        <w:t>6.1. Пеня покупателю за задержку оплаты - 0,1% в день, максимум 10% долга.</w:t>
      </w:r>
    </w:p>
    <w:p>
      <w:r>
        <w:t>6.2. Штраф поставщику за недопоставку - 0,1% в день, максимум 10% её стоимости.</w:t>
      </w:r>
    </w:p>
    <w:p>
      <w:r>
        <w:t>6.3. Совокупная ответственность каждой стороны - не более 10% квартальных поставок.</w:t>
      </w:r>
    </w:p>
    <w:p>
      <w:r>
        <w:t>8.1. Значимые уведомления - заказным письмом или под роспись.</w:t>
      </w:r>
    </w:p>
    <w:p>
      <w:r>
        <w:t>8.2. Электронная почта только для оперативной переписки.</w:t>
      </w:r>
    </w:p>
    <w:p>
      <w:r>
        <w:t>9.2. Споры по месту нахождения поставщика.</w:t>
      </w:r>
    </w:p>
    <w:p>
      <w:r>
        <w:t>10.1. Срок - 1 год; продление ежегодно, если за 30 дней нет отказа.</w:t>
      </w:r>
    </w:p>
    <w:p>
      <w:r>
        <w:t>10.2. Досрочный односторонний отказ с письменным уведомлением за 60 дней.</w:t>
      </w:r>
    </w:p>
    <w:sectPr w:rsidR="00FC693F" w:rsidRPr="0006063C" w:rsidSect="00034616">
      <w:pgSz w:w="11906" w:h="16838"/>
      <w:pgMar w:top="935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поставки ДП-2026/147 от 01.10.2026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