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MEETING MINUTES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b/>
              </w:rPr>
              <w:t>Meeting Title:</w:t>
            </w:r>
          </w:p>
        </w:tc>
        <w:tc>
          <w:tcPr>
            <w:tcW w:type="dxa" w:w="4513"/>
          </w:tcPr>
          <w:p>
            <w:r>
              <w:t>Q4 2023 Product Development Strategy Meeting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Date:</w:t>
            </w:r>
          </w:p>
        </w:tc>
        <w:tc>
          <w:tcPr>
            <w:tcW w:type="dxa" w:w="4513"/>
          </w:tcPr>
          <w:p>
            <w:r>
              <w:t>December 15, 2023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Time:</w:t>
            </w:r>
          </w:p>
        </w:tc>
        <w:tc>
          <w:tcPr>
            <w:tcW w:type="dxa" w:w="4513"/>
          </w:tcPr>
          <w:p>
            <w:r>
              <w:t>10:00 AM - 11:30 AM EST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Meeting Called By:</w:t>
            </w:r>
          </w:p>
        </w:tc>
        <w:tc>
          <w:tcPr>
            <w:tcW w:type="dxa" w:w="4513"/>
          </w:tcPr>
          <w:p>
            <w:r>
              <w:t>Sarah Chen, Product Director</w:t>
            </w:r>
          </w:p>
        </w:tc>
      </w:tr>
      <w:tr>
        <w:tc>
          <w:tcPr>
            <w:tcW w:type="dxa" w:w="4513"/>
          </w:tcPr>
          <w:p>
            <w:r>
              <w:rPr>
                <w:b/>
              </w:rPr>
              <w:t>Meeting Type:</w:t>
            </w:r>
          </w:p>
        </w:tc>
        <w:tc>
          <w:tcPr>
            <w:tcW w:type="dxa" w:w="4513"/>
          </w:tcPr>
          <w:p>
            <w:r>
              <w:t>Regular Product Development Team Meeting</w:t>
            </w:r>
          </w:p>
        </w:tc>
      </w:tr>
      <w:tr>
        <w:tc>
          <w:tcPr>
            <w:tcW w:type="dxa" w:w="4513"/>
          </w:tcPr>
          <w:p/>
        </w:tc>
        <w:tc>
          <w:tcPr>
            <w:tcW w:type="dxa" w:w="4513"/>
          </w:tcPr>
          <w:p/>
        </w:tc>
      </w:tr>
    </w:tbl>
    <w:p>
      <w:r>
        <w:br/>
      </w:r>
    </w:p>
    <w:p>
      <w:pPr>
        <w:pStyle w:val="CustomHeading1"/>
      </w:pPr>
      <w:r>
        <w:t>1. Meeting Overview</w:t>
      </w:r>
    </w:p>
    <w:p>
      <w:pPr>
        <w:pStyle w:val="CustomHeading2"/>
      </w:pPr>
      <w:r>
        <w:t>Quarterly Review</w:t>
      </w:r>
    </w:p>
    <w:p>
      <w:pPr>
        <w:ind w:left="360"/>
      </w:pPr>
      <w:r>
        <w:t>The quarterly review meeting was held to discuss key performance metrics and address challenges.</w:t>
      </w:r>
    </w:p>
    <w:p>
      <w:pPr>
        <w:pStyle w:val="CustomHeading1"/>
      </w:pPr>
      <w:r>
        <w:t>2. Attendees</w:t>
      </w:r>
    </w:p>
    <w:p>
      <w:pPr>
        <w:pStyle w:val="CustomHeading2"/>
      </w:pPr>
      <w:r>
        <w:t>Present</w:t>
      </w:r>
    </w:p>
    <w:p>
      <w:pPr>
        <w:ind w:left="360"/>
      </w:pPr>
      <w:r>
        <w:t>John Doe, Jane Smith, Carlos Martinez, Li Wei, Amara Okafor</w:t>
      </w:r>
    </w:p>
    <w:p>
      <w:pPr>
        <w:pStyle w:val="CustomHeading2"/>
      </w:pPr>
      <w:r>
        <w:t>Apologies</w:t>
      </w:r>
    </w:p>
    <w:p>
      <w:pPr>
        <w:ind w:left="360"/>
      </w:pPr>
      <w:r/>
    </w:p>
    <w:p>
      <w:pPr>
        <w:pStyle w:val="CustomHeading2"/>
      </w:pPr>
      <w:r>
        <w:t>Absent</w:t>
      </w:r>
    </w:p>
    <w:p>
      <w:pPr>
        <w:ind w:left="360"/>
      </w:pPr>
      <w:r/>
    </w:p>
    <w:p>
      <w:pPr>
        <w:pStyle w:val="CustomHeading1"/>
      </w:pPr>
      <w:r>
        <w:t>3. Discussion Points</w:t>
      </w:r>
    </w:p>
    <w:p>
      <w:pPr>
        <w:pStyle w:val="CustomHeading2"/>
      </w:pPr>
      <w:r>
        <w:t>Key Performance Metrics</w:t>
      </w:r>
    </w:p>
    <w:p>
      <w:pPr>
        <w:ind w:left="360"/>
      </w:pPr>
      <w:r>
        <w:t>The team discussed key performance metrics and addressed challenges in the Asia-Pacific region.</w:t>
      </w:r>
    </w:p>
    <w:p>
      <w:pPr>
        <w:pStyle w:val="CustomHeading2"/>
      </w:pPr>
      <w:r>
        <w:t>Sales Figures</w:t>
      </w:r>
    </w:p>
    <w:p>
      <w:pPr>
        <w:ind w:left="360"/>
      </w:pPr>
      <w:r>
        <w:t>Carlos Martinez presented sales figures showing a 15% increase compared to the previous quarter.</w:t>
      </w:r>
    </w:p>
    <w:p>
      <w:pPr>
        <w:pStyle w:val="CustomHeading2"/>
      </w:pPr>
      <w:r>
        <w:t>Technical Roadmap</w:t>
      </w:r>
    </w:p>
    <w:p>
      <w:pPr>
        <w:ind w:left="360"/>
      </w:pPr>
      <w:r>
        <w:t>Li Wei shared progress on the technical roadmap, stating they are ahead of schedule for the new platform rollout.</w:t>
      </w:r>
    </w:p>
    <w:p>
      <w:pPr>
        <w:pStyle w:val="CustomHeading2"/>
      </w:pPr>
      <w:r>
        <w:t>Marketing Campaigns</w:t>
      </w:r>
    </w:p>
    <w:p>
      <w:pPr>
        <w:ind w:left="360"/>
      </w:pPr>
      <w:r>
        <w:t>Amara Okafor reported significant results from marketing campaigns this quarter.</w:t>
      </w:r>
    </w:p>
    <w:p>
      <w:pPr>
        <w:pStyle w:val="CustomHeading2"/>
      </w:pPr>
      <w:r>
        <w:t>Challenges and Action Plan</w:t>
      </w:r>
    </w:p>
    <w:p>
      <w:pPr>
        <w:ind w:left="360"/>
      </w:pPr>
      <w:r>
        <w:t>The team discussed challenges in resource allocation in the Asia-Pacific region and created an action plan to address it.</w:t>
      </w:r>
    </w:p>
    <w:p>
      <w:pPr>
        <w:pStyle w:val="CustomHeading1"/>
      </w:pPr>
      <w:r>
        <w:t>4. Action Items</w:t>
      </w:r>
    </w:p>
    <w:p>
      <w:pPr>
        <w:pStyle w:val="CustomHeading2"/>
      </w:pPr>
      <w:r>
        <w:t>Tasks Assigned</w:t>
      </w:r>
    </w:p>
    <w:p>
      <w:pPr>
        <w:ind w:left="360"/>
      </w:pPr>
      <w:r>
        <w:t>Reassign resources to support the Asia-Pacific region.</w:t>
      </w:r>
    </w:p>
    <w:p>
      <w:pPr>
        <w:pStyle w:val="CustomHeading2"/>
      </w:pPr>
      <w:r>
        <w:t>Responsibilities</w:t>
      </w:r>
    </w:p>
    <w:p>
      <w:pPr>
        <w:ind w:left="360"/>
      </w:pPr>
      <w:r>
        <w:t>Person responsible: John Doe</w:t>
      </w:r>
    </w:p>
    <w:p>
      <w:pPr>
        <w:pStyle w:val="CustomHeading2"/>
      </w:pPr>
      <w:r>
        <w:t>Deadlines</w:t>
      </w:r>
    </w:p>
    <w:p>
      <w:pPr>
        <w:ind w:left="360"/>
      </w:pPr>
      <w:r/>
    </w:p>
    <w:p>
      <w:pPr>
        <w:pStyle w:val="CustomHeading1"/>
      </w:pPr>
      <w:r>
        <w:t>5. Next Meeting</w:t>
      </w:r>
    </w:p>
    <w:p>
      <w:pPr>
        <w:pStyle w:val="CustomHeading2"/>
      </w:pPr>
      <w:r>
        <w:t>Date and Time</w:t>
      </w:r>
    </w:p>
    <w:p>
      <w:pPr>
        <w:ind w:left="360"/>
      </w:pPr>
      <w:r/>
    </w:p>
    <w:p>
      <w:pPr>
        <w:pStyle w:val="CustomHeading2"/>
      </w:pPr>
      <w:r>
        <w:t>Preliminary Agenda</w:t>
      </w:r>
    </w:p>
    <w:p>
      <w:pPr>
        <w:ind w:left="360"/>
      </w:pPr>
      <w:r/>
    </w:p>
    <w:sectPr w:rsidR="00FC693F" w:rsidRPr="0006063C" w:rsidSect="00034616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fldChar w:fldCharType="begin"/>
      <w:instrText>PAGE</w:instrText>
      <w:fldChar w:fldCharType="end"/>
    </w:r>
    <w:r>
      <w:rPr>
        <w:sz w:val="16"/>
      </w:rPr>
      <w:t xml:space="preserve"> | 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rPr>
        <w:b/>
        <w:sz w:val="16"/>
      </w:rPr>
      <w:t>CONFIDENTIAL</w:t>
    </w: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-dark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rPr>
              <w:b/>
              <w:sz w:val="28"/>
            </w:rPr>
            <w:t>Growisen Technologies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4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pPr>
      <w:spacing w:before="480" w:after="240"/>
    </w:pPr>
    <w:rPr>
      <w:rFonts w:ascii="Calibri" w:hAnsi="Calibri"/>
      <w:b/>
      <w:color w:val="003366"/>
      <w:sz w:val="32"/>
    </w:rPr>
  </w:style>
  <w:style w:type="paragraph" w:customStyle="1" w:styleId="CustomHeading2">
    <w:name w:val="CustomHeading2"/>
    <w:pPr>
      <w:spacing w:before="360" w:after="120"/>
    </w:pPr>
    <w:rPr>
      <w:rFonts w:ascii="Calibri" w:hAnsi="Calibri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