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C69B9FD">
      <w:pPr>
        <w:rPr>
          <w:rFonts w:hint="default"/>
        </w:rPr>
      </w:pPr>
      <w:r>
        <w:rPr>
          <w:rFonts w:hint="default"/>
        </w:rPr>
        <w:t>**Site Characteri</w:t>
      </w:r>
      <w:r>
        <w:rPr>
          <w:rFonts w:hint="default"/>
          <w:lang w:val="en-US"/>
        </w:rPr>
        <w:t>stics</w:t>
      </w:r>
      <w:r>
        <w:rPr>
          <w:rFonts w:hint="default"/>
        </w:rPr>
        <w:t>**</w:t>
      </w:r>
    </w:p>
    <w:p w14:paraId="5038B523">
      <w:pPr>
        <w:rPr>
          <w:rFonts w:hint="default"/>
        </w:rPr>
      </w:pPr>
    </w:p>
    <w:p w14:paraId="1D43E320">
      <w:pPr>
        <w:rPr>
          <w:rFonts w:hint="default"/>
        </w:rPr>
      </w:pPr>
      <w:r>
        <w:rPr>
          <w:rFonts w:hint="default"/>
        </w:rPr>
        <w:t xml:space="preserve">The material was collected from the intertidal zone within Tauiskaya Bay, Sea of Okhotsk, in June 2021 and 2023. Among the </w:t>
      </w:r>
      <w:r>
        <w:rPr>
          <w:rFonts w:hint="default"/>
          <w:lang w:val="en-US"/>
        </w:rPr>
        <w:t>18</w:t>
      </w:r>
      <w:r>
        <w:rPr>
          <w:rFonts w:hint="default"/>
        </w:rPr>
        <w:t xml:space="preserve"> surveyed sites, </w:t>
      </w:r>
      <w:r>
        <w:rPr>
          <w:rFonts w:hint="default"/>
          <w:lang w:val="en-US"/>
        </w:rPr>
        <w:t>6</w:t>
      </w:r>
      <w:r>
        <w:rPr>
          <w:rFonts w:hint="default"/>
        </w:rPr>
        <w:t xml:space="preserve"> were described twice. In most cases, </w:t>
      </w:r>
      <w:r>
        <w:rPr>
          <w:rFonts w:hint="default"/>
          <w:lang w:val="en-US"/>
        </w:rPr>
        <w:t>mussel populations</w:t>
      </w:r>
      <w:r>
        <w:rPr>
          <w:rFonts w:hint="default"/>
        </w:rPr>
        <w:t xml:space="preserve"> consisted of mollusk patches of varying sizes attached to rock surfaces. Such patches were found both on exposed surfaces of rocks</w:t>
      </w:r>
      <w:r>
        <w:rPr>
          <w:rFonts w:hint="default"/>
          <w:lang w:val="en-US"/>
        </w:rPr>
        <w:t xml:space="preserve">, </w:t>
      </w:r>
      <w:r>
        <w:rPr>
          <w:rFonts w:hint="default"/>
        </w:rPr>
        <w:t>boulders</w:t>
      </w:r>
      <w:r>
        <w:rPr>
          <w:rFonts w:hint="default"/>
          <w:lang w:val="en-US"/>
        </w:rPr>
        <w:t xml:space="preserve"> and stones</w:t>
      </w:r>
      <w:r>
        <w:rPr>
          <w:rFonts w:hint="default"/>
        </w:rPr>
        <w:t xml:space="preserve"> and in the spaces between them. In some </w:t>
      </w:r>
      <w:r>
        <w:rPr>
          <w:rFonts w:hint="default"/>
          <w:lang w:val="en-US"/>
        </w:rPr>
        <w:t>cases</w:t>
      </w:r>
      <w:r>
        <w:rPr>
          <w:rFonts w:hint="default"/>
        </w:rPr>
        <w:t xml:space="preserve">, settlements were found exclusively between </w:t>
      </w:r>
      <w:r>
        <w:rPr>
          <w:rFonts w:hint="default"/>
          <w:lang w:val="en-US"/>
        </w:rPr>
        <w:t>stones</w:t>
      </w:r>
      <w:r>
        <w:rPr>
          <w:rFonts w:hint="default"/>
        </w:rPr>
        <w:t xml:space="preserve">, the surfaces of which remained uncolonized. In </w:t>
      </w:r>
      <w:r>
        <w:rPr>
          <w:rFonts w:hint="default"/>
          <w:lang w:val="en-US"/>
        </w:rPr>
        <w:t xml:space="preserve">a few </w:t>
      </w:r>
      <w:r>
        <w:rPr>
          <w:rFonts w:hint="default"/>
        </w:rPr>
        <w:t>cases (Ola, Arm</w:t>
      </w:r>
      <w:r>
        <w:rPr>
          <w:rFonts w:hint="default"/>
          <w:lang w:val="en-US"/>
        </w:rPr>
        <w:t>, Fig. ++</w:t>
      </w:r>
      <w:r>
        <w:rPr>
          <w:rFonts w:hint="default"/>
        </w:rPr>
        <w:t>), aggregations formed on the surface of muddy sediment, where m</w:t>
      </w:r>
      <w:r>
        <w:rPr>
          <w:rFonts w:hint="default"/>
          <w:lang w:val="en-US"/>
        </w:rPr>
        <w:t xml:space="preserve">ussels </w:t>
      </w:r>
      <w:r>
        <w:rPr>
          <w:rFonts w:hint="default"/>
        </w:rPr>
        <w:t>created a continuous mat by attaching to one another via byssal threads.</w:t>
      </w:r>
    </w:p>
    <w:p w14:paraId="21F91811">
      <w:pPr>
        <w:rPr>
          <w:rFonts w:hint="default"/>
        </w:rPr>
      </w:pPr>
    </w:p>
    <w:p w14:paraId="19A88EA3">
      <w:pPr>
        <w:rPr>
          <w:rFonts w:hint="default"/>
        </w:rPr>
      </w:pPr>
      <w:r>
        <w:rPr>
          <w:rFonts w:hint="default"/>
        </w:rPr>
        <w:t xml:space="preserve">Sites differed markedly in their degree of exposure to wave action. However, other hydrological conditions were broadly similar. Salinity in the area showed no </w:t>
      </w:r>
      <w:r>
        <w:rPr>
          <w:rFonts w:hint="default"/>
          <w:lang w:val="en-US"/>
        </w:rPr>
        <w:t xml:space="preserve">significant </w:t>
      </w:r>
      <w:r>
        <w:rPr>
          <w:rFonts w:hint="default"/>
        </w:rPr>
        <w:t>variation, ranging from 21.7 to 32 ppm. Only at the mouth of the Arman River</w:t>
      </w:r>
      <w:r>
        <w:rPr>
          <w:rFonts w:hint="default"/>
          <w:lang w:val="en-US"/>
        </w:rPr>
        <w:t xml:space="preserve"> (ARM)</w:t>
      </w:r>
      <w:r>
        <w:rPr>
          <w:rFonts w:hint="default"/>
        </w:rPr>
        <w:t xml:space="preserve"> and </w:t>
      </w:r>
      <w:r>
        <w:rPr>
          <w:rFonts w:hint="default"/>
          <w:lang w:val="en-US"/>
        </w:rPr>
        <w:t xml:space="preserve">Marchikan </w:t>
      </w:r>
      <w:r>
        <w:rPr>
          <w:rFonts w:hint="default"/>
        </w:rPr>
        <w:t>stream (MAR) salinity</w:t>
      </w:r>
      <w:r>
        <w:rPr>
          <w:rFonts w:hint="default"/>
          <w:lang w:val="en-US"/>
        </w:rPr>
        <w:t xml:space="preserve"> being</w:t>
      </w:r>
      <w:r>
        <w:rPr>
          <w:rFonts w:hint="default"/>
        </w:rPr>
        <w:t xml:space="preserve"> measured during low tide drop substantially (to 6.8 and 16.7 ppm, respectively).</w:t>
      </w:r>
    </w:p>
    <w:p w14:paraId="3B5BDB44">
      <w:pPr>
        <w:rPr>
          <w:rFonts w:hint="default"/>
        </w:rPr>
      </w:pPr>
    </w:p>
    <w:p w14:paraId="37EA3DB8">
      <w:pPr>
        <w:rPr>
          <w:rFonts w:hint="default"/>
        </w:rPr>
      </w:pPr>
      <w:r>
        <w:rPr>
          <w:rFonts w:hint="default"/>
        </w:rPr>
        <w:t>The only major human settlement along the surveyed coastline is the city of Magadan (approximately 90,000 inhabitants). Magadan’s residential districts extend to two bays – Nagaeva Bay to the west and Gertner Bay to the east</w:t>
      </w:r>
      <w:r>
        <w:rPr>
          <w:rFonts w:hint="default"/>
          <w:lang w:val="en-US"/>
        </w:rPr>
        <w:t xml:space="preserve"> (Fig. +++)</w:t>
      </w:r>
      <w:r>
        <w:rPr>
          <w:rFonts w:hint="default"/>
        </w:rPr>
        <w:t>. However, the main residential quarters and industrial facilities are located closer to the former. On the eastern coast (at the mouth of the Magadanka River</w:t>
      </w:r>
      <w:r>
        <w:rPr>
          <w:rFonts w:hint="default"/>
          <w:lang w:val="en-US"/>
        </w:rPr>
        <w:t>, Fig. ++</w:t>
      </w:r>
      <w:r>
        <w:rPr>
          <w:rFonts w:hint="default"/>
        </w:rPr>
        <w:t xml:space="preserve">), an extensive silty-sand beach is </w:t>
      </w:r>
      <w:r>
        <w:rPr>
          <w:rFonts w:hint="default"/>
          <w:lang w:val="en-US"/>
        </w:rPr>
        <w:t xml:space="preserve">presented. </w:t>
      </w:r>
    </w:p>
    <w:p w14:paraId="2424F104">
      <w:pPr>
        <w:rPr>
          <w:rFonts w:hint="default"/>
        </w:rPr>
      </w:pPr>
      <w:r>
        <w:rPr>
          <w:rFonts w:hint="default"/>
        </w:rPr>
        <w:t>The coastline at the surveyed sites is largely uninvolved in industrial activities, with the exception of a large seaport located in Nagaeva Bay on the western edge of Magadan</w:t>
      </w:r>
      <w:r>
        <w:rPr>
          <w:rFonts w:hint="default"/>
          <w:lang w:val="en-US"/>
        </w:rPr>
        <w:t xml:space="preserve"> (Fig. +++)</w:t>
      </w:r>
      <w:r>
        <w:rPr>
          <w:rFonts w:hint="default"/>
        </w:rPr>
        <w:t>.</w:t>
      </w:r>
    </w:p>
    <w:p w14:paraId="49B827C5">
      <w:pPr>
        <w:rPr>
          <w:rFonts w:hint="default"/>
        </w:rPr>
      </w:pPr>
    </w:p>
    <w:p w14:paraId="135C2E11">
      <w:pPr>
        <w:rPr>
          <w:rFonts w:hint="default"/>
        </w:rPr>
      </w:pPr>
      <w:r>
        <w:rPr>
          <w:rFonts w:hint="default"/>
        </w:rPr>
        <w:t>**Collection</w:t>
      </w:r>
      <w:r>
        <w:rPr>
          <w:rFonts w:hint="default"/>
          <w:lang w:val="en-US"/>
        </w:rPr>
        <w:t>s</w:t>
      </w:r>
      <w:r>
        <w:rPr>
          <w:rFonts w:hint="default"/>
        </w:rPr>
        <w:t xml:space="preserve"> for BTN Infection Analysis**</w:t>
      </w:r>
    </w:p>
    <w:p w14:paraId="43F8DBB4">
      <w:pPr>
        <w:rPr>
          <w:rFonts w:hint="default"/>
        </w:rPr>
      </w:pPr>
    </w:p>
    <w:p w14:paraId="50253D78">
      <w:pPr>
        <w:rPr>
          <w:rFonts w:hint="default"/>
        </w:rPr>
      </w:pPr>
      <w:r>
        <w:rPr>
          <w:rFonts w:hint="default"/>
        </w:rPr>
        <w:t xml:space="preserve">At each site, ++ to ++ large mollusks (shell length ++–++ mm) were collected. In 2021, collections were carried out across the entire area designated for </w:t>
      </w:r>
      <w:r>
        <w:rPr>
          <w:rFonts w:hint="default"/>
          <w:lang w:val="en-US"/>
        </w:rPr>
        <w:t>sampling</w:t>
      </w:r>
      <w:r>
        <w:rPr>
          <w:rFonts w:hint="default"/>
        </w:rPr>
        <w:t>, within a radius of several tens of meters. In 2023, the scheme was modified: within each site, 3–5 small subplots (radius ≤10 m</w:t>
      </w:r>
      <w:r>
        <w:rPr>
          <w:rFonts w:hint="default"/>
          <w:lang w:val="en-US"/>
        </w:rPr>
        <w:t xml:space="preserve"> ?</w:t>
      </w:r>
      <w:r>
        <w:rPr>
          <w:rFonts w:hint="default"/>
        </w:rPr>
        <w:t xml:space="preserve">), separated from one another by several tens of meters, were established. Collections from each such subplot were treated as </w:t>
      </w:r>
      <w:r>
        <w:rPr>
          <w:rFonts w:hint="default"/>
          <w:lang w:val="en-US"/>
        </w:rPr>
        <w:t>separated</w:t>
      </w:r>
      <w:r>
        <w:rPr>
          <w:rFonts w:hint="default"/>
        </w:rPr>
        <w:t xml:space="preserve"> sample</w:t>
      </w:r>
      <w:r>
        <w:rPr>
          <w:rFonts w:hint="default"/>
          <w:lang w:val="en-US"/>
        </w:rPr>
        <w:t>s</w:t>
      </w:r>
      <w:r>
        <w:rPr>
          <w:rFonts w:hint="default"/>
        </w:rPr>
        <w:t>.</w:t>
      </w:r>
    </w:p>
    <w:p w14:paraId="18D4173D">
      <w:pPr>
        <w:rPr>
          <w:rFonts w:hint="default"/>
        </w:rPr>
      </w:pPr>
    </w:p>
    <w:p w14:paraId="0AE0698C">
      <w:pPr>
        <w:rPr>
          <w:rFonts w:hint="default"/>
        </w:rPr>
      </w:pPr>
      <w:r>
        <w:rPr>
          <w:rFonts w:hint="default"/>
        </w:rPr>
        <w:t>**Collection</w:t>
      </w:r>
      <w:r>
        <w:rPr>
          <w:rFonts w:hint="default"/>
          <w:lang w:val="en-US"/>
        </w:rPr>
        <w:t>s</w:t>
      </w:r>
      <w:r>
        <w:rPr>
          <w:rFonts w:hint="default"/>
        </w:rPr>
        <w:t xml:space="preserve"> for </w:t>
      </w:r>
      <w:r>
        <w:rPr>
          <w:rFonts w:hint="default"/>
          <w:lang w:val="en-US"/>
        </w:rPr>
        <w:t xml:space="preserve">Mussel </w:t>
      </w:r>
      <w:r>
        <w:rPr>
          <w:rFonts w:hint="default"/>
        </w:rPr>
        <w:t>Population Structure Analysis**</w:t>
      </w:r>
    </w:p>
    <w:p w14:paraId="71263980">
      <w:pPr>
        <w:rPr>
          <w:rFonts w:hint="default"/>
        </w:rPr>
      </w:pPr>
    </w:p>
    <w:p w14:paraId="287728BB">
      <w:pPr>
        <w:rPr>
          <w:rFonts w:hint="default"/>
        </w:rPr>
      </w:pPr>
      <w:r>
        <w:rPr>
          <w:rFonts w:hint="default"/>
        </w:rPr>
        <w:t xml:space="preserve">At each site, three quantitative samples were taken from randomly selected locations. Each sample consisted of all mussels </w:t>
      </w:r>
      <w:r>
        <w:rPr>
          <w:rFonts w:hint="default"/>
          <w:lang w:val="en-US"/>
        </w:rPr>
        <w:t xml:space="preserve">taken </w:t>
      </w:r>
      <w:r>
        <w:rPr>
          <w:rFonts w:hint="default"/>
        </w:rPr>
        <w:t>from a known area. Samples were placed in plastic bags and transported to the laboratory.</w:t>
      </w:r>
    </w:p>
    <w:p w14:paraId="456614A5">
      <w:pPr>
        <w:rPr>
          <w:rFonts w:hint="default"/>
        </w:rPr>
      </w:pPr>
    </w:p>
    <w:p w14:paraId="7B836F5B">
      <w:pPr>
        <w:rPr>
          <w:rFonts w:hint="default"/>
        </w:rPr>
      </w:pPr>
      <w:r>
        <w:rPr>
          <w:rFonts w:hint="default"/>
        </w:rPr>
        <w:t>At all sites in both years, overall views of mussel settlements were photographed (Fig. S++). Based on a visual assessment of substrate coverage by mussel aggregations, each site was assigned to one of four classes. The first class included sites where mussel settlements were sparse and covered less than 10% of the substrate area. The fourth class included sites where mussels occupied more than 50% of the bottom surface. Classes 2 and 3 included sites with coverage below and above 25% of the substrate surface, respectively. Next, according to this classification, each site described in a given year was assigned a point-based coverage score. To validate the proposed coverage scale, several tens of surface plots were photographed at each site in 2023. A smartphone mounted on a remotely controlled selfie stick was used for photography. The camera was positioned approximately 2.5 m above the substrate surface.</w:t>
      </w:r>
    </w:p>
    <w:p w14:paraId="67B95639">
      <w:pPr>
        <w:rPr>
          <w:rFonts w:hint="default"/>
        </w:rPr>
      </w:pPr>
    </w:p>
    <w:p w14:paraId="5B71DB5A">
      <w:pPr>
        <w:rPr>
          <w:rFonts w:hint="default"/>
        </w:rPr>
      </w:pPr>
    </w:p>
    <w:p w14:paraId="28EB27F7">
      <w:pPr>
        <w:rPr>
          <w:rFonts w:hint="default"/>
        </w:rPr>
      </w:pPr>
      <w:r>
        <w:rPr>
          <w:rFonts w:hint="default"/>
        </w:rPr>
        <w:t>**Processing of Quantitative Samples**</w:t>
      </w:r>
    </w:p>
    <w:p w14:paraId="2904FA71">
      <w:pPr>
        <w:rPr>
          <w:rFonts w:hint="default"/>
        </w:rPr>
      </w:pPr>
    </w:p>
    <w:p w14:paraId="4E43F44F">
      <w:pPr>
        <w:rPr>
          <w:rFonts w:hint="default"/>
        </w:rPr>
      </w:pPr>
      <w:r>
        <w:rPr>
          <w:rFonts w:hint="default"/>
        </w:rPr>
        <w:t xml:space="preserve">Samples were washed through a 1 mm mesh sieve. All </w:t>
      </w:r>
      <w:r>
        <w:rPr>
          <w:rFonts w:hint="default"/>
          <w:lang w:val="en-US"/>
        </w:rPr>
        <w:t>a</w:t>
      </w:r>
      <w:r>
        <w:rPr>
          <w:rFonts w:hint="default"/>
        </w:rPr>
        <w:t>live mussels were picked from the samples. Shell length was measured for all collected individuals to the nearest 1 mm.</w:t>
      </w:r>
    </w:p>
    <w:p w14:paraId="7C93C4B7">
      <w:pPr>
        <w:rPr>
          <w:rFonts w:hint="default"/>
        </w:rPr>
      </w:pPr>
    </w:p>
    <w:p w14:paraId="6B3B99CB">
      <w:pPr>
        <w:rPr>
          <w:rFonts w:hint="default"/>
        </w:rPr>
      </w:pPr>
      <w:r>
        <w:rPr>
          <w:rFonts w:hint="default"/>
        </w:rPr>
        <w:t>From several samples, 112 mollusks of varying sizes were selected to determine the relationship between shell length and mollusk weight. The resulting regression equation was used to estimate mollusk biomass reconstructed from the size structure.</w:t>
      </w:r>
    </w:p>
    <w:p w14:paraId="7DAF5285">
      <w:pPr>
        <w:rPr>
          <w:rFonts w:hint="default"/>
        </w:rPr>
      </w:pPr>
    </w:p>
    <w:p w14:paraId="4F987AE2">
      <w:pPr>
        <w:rPr>
          <w:rFonts w:hint="default"/>
        </w:rPr>
      </w:pPr>
      <w:r>
        <w:rPr>
          <w:rFonts w:hint="default"/>
        </w:rPr>
        <w:t>**Processing of Photographs**</w:t>
      </w:r>
    </w:p>
    <w:p w14:paraId="382DA2F3">
      <w:pPr>
        <w:rPr>
          <w:rFonts w:hint="default"/>
        </w:rPr>
      </w:pPr>
    </w:p>
    <w:p w14:paraId="501F73B0">
      <w:pPr>
        <w:rPr>
          <w:rFonts w:hint="default"/>
        </w:rPr>
      </w:pPr>
      <w:r>
        <w:rPr>
          <w:rFonts w:hint="default"/>
        </w:rPr>
        <w:t>From the set of shots taken to assess cover by mussel patches at each site, 30 frames were randomly selected. Each selected frame was divided into 100 cells (10 horizontal × 10 vertical rows). Subsequently, 30 cells were randomly selected, and the number of cells in which mussel patches occupied more than a quarter of the cell area was counted. For each frame, the ratio of such cells to 30 was calculated. For all frames taken at a given site, the mean value of this index was calculated and used as a</w:t>
      </w:r>
      <w:r>
        <w:rPr>
          <w:rFonts w:hint="default"/>
          <w:lang w:val="en-US"/>
        </w:rPr>
        <w:t>n objective</w:t>
      </w:r>
      <w:r>
        <w:rPr>
          <w:rFonts w:hint="default"/>
        </w:rPr>
        <w:t xml:space="preserve"> characteristic of the cover of mussel patches. These values were then compared with the point-based coverage scores described above.</w:t>
      </w:r>
    </w:p>
    <w:p w14:paraId="52271CF7">
      <w:pPr>
        <w:rPr>
          <w:rFonts w:hint="default"/>
        </w:rPr>
      </w:pPr>
    </w:p>
    <w:p w14:paraId="31D823C1">
      <w:pPr>
        <w:rPr>
          <w:rFonts w:hint="default"/>
        </w:rPr>
      </w:pPr>
    </w:p>
    <w:p w14:paraId="354145FB">
      <w:pPr>
        <w:rPr>
          <w:rFonts w:hint="default"/>
          <w:lang w:val="en-US"/>
        </w:rPr>
      </w:pPr>
      <w:r>
        <w:rPr>
          <w:rFonts w:hint="default"/>
          <w:lang w:val="en-US"/>
        </w:rPr>
        <w:t>**Analysis of Mussel growth rate**</w:t>
      </w:r>
    </w:p>
    <w:p w14:paraId="401D27B2">
      <w:pPr>
        <w:rPr>
          <w:rFonts w:hint="default"/>
          <w:lang w:val="ru-RU"/>
        </w:rPr>
      </w:pPr>
      <w:r>
        <w:rPr>
          <w:rFonts w:hint="default"/>
          <w:lang w:val="ru-RU"/>
        </w:rPr>
        <w:t>+++++++</w:t>
      </w:r>
    </w:p>
    <w:p w14:paraId="2FE5FED2">
      <w:pPr>
        <w:rPr>
          <w:rFonts w:hint="default"/>
          <w:lang w:val="ru-RU"/>
        </w:rPr>
      </w:pPr>
    </w:p>
    <w:p w14:paraId="6C7BEF2D">
      <w:pPr>
        <w:rPr>
          <w:rFonts w:hint="default"/>
        </w:rPr>
      </w:pPr>
    </w:p>
    <w:p w14:paraId="3E9A6133">
      <w:pPr>
        <w:rPr>
          <w:rFonts w:hint="default"/>
          <w:lang w:val="ru-RU"/>
        </w:rPr>
      </w:pPr>
      <w:r>
        <w:rPr>
          <w:rFonts w:hint="default"/>
          <w:lang w:val="ru-RU"/>
        </w:rPr>
        <w:t>**</w:t>
      </w:r>
      <w:r>
        <w:rPr>
          <w:rFonts w:hint="default"/>
          <w:lang w:val="en-US"/>
        </w:rPr>
        <w:t>Shell increment assessment</w:t>
      </w:r>
      <w:r>
        <w:rPr>
          <w:rFonts w:hint="default"/>
          <w:lang w:val="ru-RU"/>
        </w:rPr>
        <w:t>**</w:t>
      </w:r>
    </w:p>
    <w:p w14:paraId="3B67C74A">
      <w:pPr>
        <w:rPr>
          <w:rFonts w:hint="default"/>
          <w:lang w:val="ru-RU"/>
        </w:rPr>
      </w:pPr>
      <w:r>
        <w:rPr>
          <w:rFonts w:hint="default"/>
          <w:lang w:val="ru-RU"/>
        </w:rPr>
        <w:t xml:space="preserve">Using the analysis of growth </w:t>
      </w:r>
      <w:r>
        <w:rPr>
          <w:rFonts w:hint="default"/>
          <w:lang w:val="en-US"/>
        </w:rPr>
        <w:t xml:space="preserve">rings </w:t>
      </w:r>
      <w:r>
        <w:rPr>
          <w:rFonts w:hint="default"/>
          <w:lang w:val="ru-RU"/>
        </w:rPr>
        <w:t>described above, we estimated the relative shell length increment in healthy mussels and in individuals infected with different BTN lineages. The increment was measured from the last ring to the shell margin</w:t>
      </w:r>
      <w:r>
        <w:rPr>
          <w:rFonts w:hint="default"/>
          <w:lang w:val="en-US"/>
        </w:rPr>
        <w:t xml:space="preserve"> (Fig. ++)</w:t>
      </w:r>
      <w:r>
        <w:rPr>
          <w:rFonts w:hint="default"/>
          <w:lang w:val="ru-RU"/>
        </w:rPr>
        <w:t xml:space="preserve">, representing growth that occurred during the warm periods of 2021 and 2023 prior to mussel collection. These values were then normalized by the total shell length. </w:t>
      </w:r>
    </w:p>
    <w:p w14:paraId="0274C160">
      <w:pPr>
        <w:rPr>
          <w:rFonts w:hint="default"/>
          <w:lang w:val="ru-RU"/>
        </w:rPr>
      </w:pPr>
    </w:p>
    <w:p w14:paraId="1A387B85">
      <w:pPr>
        <w:rPr>
          <w:rFonts w:hint="default"/>
          <w:lang w:val="ru-RU"/>
        </w:rPr>
      </w:pPr>
    </w:p>
    <w:p w14:paraId="58C115C7">
      <w:pPr>
        <w:rPr>
          <w:rFonts w:hint="default"/>
          <w:lang w:val="en-US"/>
        </w:rPr>
      </w:pPr>
      <w:r>
        <w:rPr>
          <w:rFonts w:hint="default"/>
          <w:lang w:val="en-US"/>
        </w:rPr>
        <w:t>**Gonad condition assessment**</w:t>
      </w:r>
    </w:p>
    <w:p w14:paraId="68C4041A">
      <w:pPr>
        <w:rPr>
          <w:rFonts w:hint="default"/>
          <w:lang w:val="ru-RU"/>
        </w:rPr>
      </w:pPr>
      <w:r>
        <w:rPr>
          <w:rFonts w:hint="default"/>
          <w:lang w:val="en-US"/>
        </w:rPr>
        <w:t>+++++++</w:t>
      </w:r>
      <w:r>
        <w:rPr>
          <w:rFonts w:hint="default"/>
          <w:lang w:val="ru-RU"/>
        </w:rPr>
        <w:t xml:space="preserve"> </w:t>
      </w:r>
    </w:p>
    <w:p w14:paraId="31C9CC7E">
      <w:pPr>
        <w:rPr>
          <w:rFonts w:hint="default"/>
        </w:rPr>
      </w:pPr>
    </w:p>
    <w:p w14:paraId="3C50B5C0">
      <w:pPr>
        <w:rPr>
          <w:rFonts w:hint="default"/>
          <w:lang w:val="en-US"/>
        </w:rPr>
      </w:pPr>
      <w:r>
        <w:rPr>
          <w:rFonts w:hint="default"/>
          <w:lang w:val="en-US"/>
        </w:rPr>
        <w:t>**Statistical processing**</w:t>
      </w:r>
    </w:p>
    <w:p w14:paraId="30194228">
      <w:pPr>
        <w:rPr>
          <w:rFonts w:hint="default"/>
        </w:rPr>
      </w:pPr>
    </w:p>
    <w:p w14:paraId="3E5D6243">
      <w:pPr>
        <w:rPr>
          <w:rFonts w:hint="default"/>
        </w:rPr>
      </w:pPr>
      <w:r>
        <w:rPr>
          <w:rFonts w:hint="default"/>
        </w:rPr>
        <w:t>**Predictor Assessment for Statistical Models**</w:t>
      </w:r>
    </w:p>
    <w:p w14:paraId="6C21AF4A">
      <w:pPr>
        <w:rPr>
          <w:rFonts w:hint="default"/>
        </w:rPr>
      </w:pPr>
    </w:p>
    <w:p w14:paraId="1BAE8223">
      <w:pPr>
        <w:rPr>
          <w:rFonts w:hint="default"/>
        </w:rPr>
      </w:pPr>
      <w:r>
        <w:rPr>
          <w:rFonts w:hint="default"/>
        </w:rPr>
        <w:t xml:space="preserve">Population-based predictors included mollusk abundance across different size classes, </w:t>
      </w:r>
      <w:r>
        <w:rPr>
          <w:rFonts w:hint="default"/>
          <w:lang w:val="en-US"/>
        </w:rPr>
        <w:t xml:space="preserve">mussel </w:t>
      </w:r>
      <w:r>
        <w:rPr>
          <w:rFonts w:hint="default"/>
        </w:rPr>
        <w:t xml:space="preserve">biomass, and the cover </w:t>
      </w:r>
      <w:r>
        <w:rPr>
          <w:rFonts w:hint="default"/>
          <w:lang w:val="en-US"/>
        </w:rPr>
        <w:t>scores</w:t>
      </w:r>
      <w:r>
        <w:rPr>
          <w:rFonts w:hint="default"/>
        </w:rPr>
        <w:t>. Since all these variables were highly correlated with one another, they were processed using principal component analysis (PCA).</w:t>
      </w:r>
    </w:p>
    <w:p w14:paraId="01F7477F">
      <w:pPr>
        <w:rPr>
          <w:rFonts w:hint="default"/>
        </w:rPr>
      </w:pPr>
      <w:r>
        <w:rPr>
          <w:rFonts w:hint="default"/>
          <w:lang w:val="en-US"/>
        </w:rPr>
        <w:t>For this analysis</w:t>
      </w:r>
      <w:r>
        <w:rPr>
          <w:rFonts w:hint="default"/>
        </w:rPr>
        <w:t xml:space="preserve"> the size scale was divided into 5 mm interval classes, and for each class, the mean number of mollusks per three quantitative samples was calculated for each site. The resulting matrix characterized mussel </w:t>
      </w:r>
      <w:r>
        <w:rPr>
          <w:rFonts w:hint="default"/>
          <w:lang w:val="en-US"/>
        </w:rPr>
        <w:t xml:space="preserve">abundance </w:t>
      </w:r>
      <w:r>
        <w:rPr>
          <w:rFonts w:hint="default"/>
        </w:rPr>
        <w:t xml:space="preserve">across different sizes within each site. These values, together with mussel biomass (calculated as the mean of three samples) and cover, were used as a matrix of population descriptors, which was then subjected to PCA. The scores of the </w:t>
      </w:r>
      <w:r>
        <w:rPr>
          <w:rFonts w:hint="default"/>
          <w:lang w:val="en-US"/>
        </w:rPr>
        <w:t>PC1 and PC2</w:t>
      </w:r>
      <w:r>
        <w:rPr>
          <w:rFonts w:hint="default"/>
        </w:rPr>
        <w:t>,</w:t>
      </w:r>
      <w:r>
        <w:rPr>
          <w:rFonts w:hint="default"/>
          <w:lang w:val="en-US"/>
        </w:rPr>
        <w:t xml:space="preserve"> the</w:t>
      </w:r>
      <w:r>
        <w:rPr>
          <w:rFonts w:hint="default"/>
        </w:rPr>
        <w:t xml:space="preserve"> most informative principal component</w:t>
      </w:r>
      <w:r>
        <w:rPr>
          <w:rFonts w:hint="default"/>
          <w:lang w:val="en-US"/>
        </w:rPr>
        <w:t>s,</w:t>
      </w:r>
      <w:r>
        <w:rPr>
          <w:rFonts w:hint="default"/>
        </w:rPr>
        <w:t xml:space="preserve"> were treated as predictor</w:t>
      </w:r>
      <w:r>
        <w:rPr>
          <w:rFonts w:hint="default"/>
          <w:lang w:val="en-US"/>
        </w:rPr>
        <w:t>s</w:t>
      </w:r>
      <w:r>
        <w:rPr>
          <w:rFonts w:hint="default"/>
        </w:rPr>
        <w:t>, characterizing mussel population structure.</w:t>
      </w:r>
      <w:r>
        <w:rPr>
          <w:rFonts w:hint="default"/>
          <w:lang w:val="en-US"/>
        </w:rPr>
        <w:t xml:space="preserve"> In addition to PCs we used </w:t>
      </w:r>
      <w:r>
        <w:rPr>
          <w:rFonts w:hint="default"/>
        </w:rPr>
        <w:t>OGP as an independent</w:t>
      </w:r>
      <w:r>
        <w:rPr>
          <w:rFonts w:hint="default"/>
          <w:lang w:val="en-US"/>
        </w:rPr>
        <w:t xml:space="preserve"> biotic</w:t>
      </w:r>
      <w:r>
        <w:rPr>
          <w:rFonts w:hint="default"/>
        </w:rPr>
        <w:t xml:space="preserve"> predictor. </w:t>
      </w:r>
    </w:p>
    <w:p w14:paraId="41D1DC7D">
      <w:r>
        <w:rPr>
          <w:rFonts w:hint="default"/>
          <w:lang w:val="en-US"/>
        </w:rPr>
        <w:t>In addition to biotic predictors described above we used two abiotic ones.</w:t>
      </w:r>
      <w:r>
        <w:rPr>
          <w:rFonts w:hint="default"/>
        </w:rPr>
        <w:t xml:space="preserve">The first abiotic predictor was the distance along the shoreline from the </w:t>
      </w:r>
      <w:r>
        <w:rPr>
          <w:rFonts w:hint="default"/>
          <w:lang w:val="en-US"/>
        </w:rPr>
        <w:t xml:space="preserve">Magadan’ </w:t>
      </w:r>
      <w:r>
        <w:rPr>
          <w:rFonts w:hint="default"/>
        </w:rPr>
        <w:t xml:space="preserve">seaport to the sampling site. The second predictor of this category characterized the degree of coastal exposure to wave action. For this purpose, the fetch value (+++), which describes the average distance a wind wave can travel from all directions to a given site without encountering geographic obstacles, was used. This value was determined using functions from the </w:t>
      </w:r>
      <w:r>
        <w:rPr>
          <w:rFonts w:hint="default"/>
          <w:lang w:val="en-US"/>
        </w:rPr>
        <w:t>“waver”</w:t>
      </w:r>
      <w:r>
        <w:rPr>
          <w:rFonts w:hint="default"/>
        </w:rPr>
        <w:t xml:space="preserve"> package (Marchand P, Gill D (2023)).</w:t>
      </w:r>
    </w:p>
    <w:p w14:paraId="79C183AC">
      <w:pPr>
        <w:rPr>
          <w:lang w:val="en-US"/>
        </w:rPr>
      </w:pPr>
    </w:p>
    <w:p w14:paraId="3A902134">
      <w:pPr>
        <w:rPr>
          <w:rFonts w:hint="default"/>
          <w:lang w:val="en-US"/>
        </w:rPr>
      </w:pPr>
      <w:r>
        <w:rPr>
          <w:rFonts w:hint="default"/>
          <w:lang w:val="en-US"/>
        </w:rPr>
        <w:t>**Statistic model describing dependence of BTN prevalence on predictors**</w:t>
      </w:r>
    </w:p>
    <w:p w14:paraId="4086754E">
      <w:pPr>
        <w:rPr>
          <w:rFonts w:hint="default"/>
          <w:lang w:val="ru-RU"/>
        </w:rPr>
      </w:pPr>
    </w:p>
    <w:p w14:paraId="698024BA">
      <w:pPr>
        <w:rPr>
          <w:rFonts w:hint="default"/>
          <w:lang w:val="ru-RU"/>
        </w:rPr>
      </w:pPr>
      <w:r>
        <w:rPr>
          <w:rFonts w:hint="default"/>
          <w:lang w:val="en-US"/>
        </w:rPr>
        <w:t>To analyze the effects of environmental and biotic predictors on the proportion of neoplastic cells in mollusk populations, we employed a binomial Generalized Mixed effect Additive Model (GAMM) with a logit link function (Model 1). To account for lineage-specific responses, separate smooth functions were fitted for each level of the factor “Lineage” for the following continuous predictors: distance from the port (“Dist_Port”), wave exposure (“Fetch”), the first and second principal components of correlated population descriptors (“PC1”, “PC2”), and a proxy for mollusk growth rate (“OGP”). Each smooth term was implemented using a cubic regression spline with a shrinkage basis to allow for potential nonlinear patterns. A parametric term for “Lineage” was also included to assess the differences in intercepts among lineages. To control for unmeasured temporal and spatial variation, we included a smooth random effect which treats the interaction of year and site as a random intercept. The model was fitted using restricted maximum likelihood method.  To assess the validity of the Model 1, we performed a residual diagnostic analysis using the DHARMa package (Hartig, 2022).</w:t>
      </w:r>
      <w:r>
        <w:rPr>
          <w:rFonts w:hint="default"/>
          <w:lang w:val="ru-RU"/>
        </w:rPr>
        <w:t xml:space="preserve"> </w:t>
      </w:r>
      <w:r>
        <w:rPr>
          <w:rFonts w:hint="default"/>
          <w:lang w:val="en-US"/>
        </w:rPr>
        <w:t>No violations of model assumptions were detected</w:t>
      </w:r>
      <w:r>
        <w:rPr>
          <w:rFonts w:hint="default"/>
          <w:lang w:val="ru-RU"/>
        </w:rPr>
        <w:t>.</w:t>
      </w:r>
    </w:p>
    <w:p w14:paraId="08B2D623">
      <w:pPr>
        <w:rPr>
          <w:rFonts w:hint="default"/>
          <w:lang w:val="ru-RU"/>
        </w:rPr>
      </w:pPr>
    </w:p>
    <w:p w14:paraId="7920DCB3">
      <w:pPr>
        <w:rPr>
          <w:rFonts w:hint="default"/>
          <w:lang w:val="en-US"/>
        </w:rPr>
      </w:pPr>
      <w:r>
        <w:rPr>
          <w:rFonts w:hint="default"/>
          <w:lang w:val="en-US"/>
        </w:rPr>
        <w:t>**Statistic model describing dependence of shell gonad condition on BTN infection (Model 2)**</w:t>
      </w:r>
    </w:p>
    <w:p w14:paraId="7D329998">
      <w:pPr>
        <w:rPr>
          <w:rFonts w:hint="default"/>
          <w:lang w:val="ru-RU"/>
        </w:rPr>
      </w:pPr>
      <w:r>
        <w:rPr>
          <w:rFonts w:hint="default"/>
          <w:lang w:val="en-US"/>
        </w:rPr>
        <w:t>Only infected mussels were used for this analysis. The dependent variable in the model was the frequency of grid nodes falling on acini (positive response) versus the frequency of nodes falling on connective tissue (negative response). This value characterizes the acini size relative to the area of the section occupied by connective tissue, i.e., the degree of gonad development. The predictors considered were the cancer cell line (a discrete factor with two levels) and the proportion of aneuploid cells in the hemolymph (a continuous predictor). The latter was used as a proxy for assessing the stage of disease progression. The model also included an interaction term between the predictors. These variables were used to fit a binomial logistic regression model. Additionally, we calculated the mean probability of grid nodes falling on acini for healthy mussels. Confidence intervals for both cases were estimated using the bootstrap method.</w:t>
      </w:r>
      <w:r>
        <w:rPr>
          <w:rFonts w:hint="default"/>
          <w:lang w:val="ru-RU"/>
        </w:rPr>
        <w:t xml:space="preserve"> </w:t>
      </w:r>
    </w:p>
    <w:p w14:paraId="1244479D">
      <w:pPr>
        <w:rPr>
          <w:rFonts w:hint="default"/>
          <w:lang w:val="en-US"/>
        </w:rPr>
      </w:pPr>
      <w:r>
        <w:rPr>
          <w:rFonts w:hint="default"/>
          <w:lang w:val="en-US"/>
        </w:rPr>
        <w:t xml:space="preserve">The functions from package “sats” ( R Core Team, 2025) and “boot” (Canty, Ripley, 2025) were used for this analysis. </w:t>
      </w:r>
    </w:p>
    <w:p w14:paraId="1208AFBE">
      <w:pPr>
        <w:rPr>
          <w:rFonts w:hint="default"/>
          <w:lang w:val="ru-RU"/>
        </w:rPr>
      </w:pPr>
    </w:p>
    <w:p w14:paraId="3D0EF4AC">
      <w:pPr>
        <w:rPr>
          <w:rFonts w:hint="default"/>
          <w:lang w:val="en-US"/>
        </w:rPr>
      </w:pPr>
    </w:p>
    <w:p w14:paraId="01B514DC">
      <w:pPr>
        <w:rPr>
          <w:rFonts w:hint="default"/>
          <w:lang w:val="en-US"/>
        </w:rPr>
      </w:pPr>
      <w:r>
        <w:rPr>
          <w:rFonts w:hint="default"/>
          <w:lang w:val="en-US"/>
        </w:rPr>
        <w:t>**Statistic model describing dependence of shell increment on BTN infection (Model3)**</w:t>
      </w:r>
    </w:p>
    <w:p w14:paraId="4EF153E8">
      <w:pPr>
        <w:rPr>
          <w:rFonts w:hint="default"/>
          <w:lang w:val="ru-RU"/>
        </w:rPr>
      </w:pPr>
      <w:r>
        <w:rPr>
          <w:rFonts w:hint="default"/>
          <w:lang w:val="ru-RU"/>
        </w:rPr>
        <w:t xml:space="preserve">The dependent variable in this model was the ratio of last year's increment to mussel size. This value was subjected to Fisher's z-transformation to approximate a normal distribution. The model included a fixed effect of BTN line (BTN_Type, a discrete factor with three levels: healthy, BTN1, and BTN2). To account for the effect of mussel size on the increment, a covariate representing the distance from the shell </w:t>
      </w:r>
      <w:r>
        <w:rPr>
          <w:rFonts w:hint="default"/>
          <w:lang w:val="en-US"/>
        </w:rPr>
        <w:t xml:space="preserve">umbo </w:t>
      </w:r>
      <w:r>
        <w:rPr>
          <w:rFonts w:hint="default"/>
          <w:lang w:val="ru-RU"/>
        </w:rPr>
        <w:t>to the last growth ring (Last_ring) was included in the model. The effect of this covariate was described using a nonparametric smoothing function based on cubic splines, with the shape of the spline allowed to vary depending on the level of the BTN_Type factor. To account for random variation among sites, a random site effect was included in the model. Model parameters were estimated using Restricted Maximu</w:t>
      </w:r>
      <w:bookmarkStart w:id="0" w:name="_GoBack"/>
      <w:bookmarkEnd w:id="0"/>
      <w:r>
        <w:rPr>
          <w:rFonts w:hint="default"/>
          <w:lang w:val="ru-RU"/>
        </w:rPr>
        <w:t>m Likelihood ("REML").</w:t>
      </w:r>
    </w:p>
    <w:p w14:paraId="00ACB0B1">
      <w:pPr>
        <w:rPr>
          <w:rFonts w:hint="default"/>
          <w:lang w:val="ru-RU"/>
        </w:rPr>
      </w:pPr>
    </w:p>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000247B" w:usb2="00000009" w:usb3="00000000" w:csb0="200001FF" w:csb1="00000000"/>
  </w:font>
  <w:font w:name="Lucida Console">
    <w:panose1 w:val="020B0609040504020204"/>
    <w:charset w:val="00"/>
    <w:family w:val="auto"/>
    <w:pitch w:val="default"/>
    <w:sig w:usb0="8000028F" w:usb1="00001800" w:usb2="00000000" w:usb3="00000000" w:csb0="0000001F" w:csb1="D7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50"/>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67900"/>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91715"/>
    <w:rsid w:val="00EC24C6"/>
    <w:rsid w:val="00EF2933"/>
    <w:rsid w:val="00F05146"/>
    <w:rsid w:val="00F1115D"/>
    <w:rsid w:val="00F3513C"/>
    <w:rsid w:val="00F465C5"/>
    <w:rsid w:val="00F5180D"/>
    <w:rsid w:val="00F51B21"/>
    <w:rsid w:val="00F51D87"/>
    <w:rsid w:val="00F8455C"/>
    <w:rsid w:val="088005EC"/>
    <w:rsid w:val="09C2553B"/>
    <w:rsid w:val="0CE67900"/>
    <w:rsid w:val="13A260BC"/>
    <w:rsid w:val="2D9B6E4D"/>
    <w:rsid w:val="391B30B1"/>
    <w:rsid w:val="3A0A08C7"/>
    <w:rsid w:val="3A5B4A05"/>
    <w:rsid w:val="3D2E204C"/>
    <w:rsid w:val="4B32292F"/>
    <w:rsid w:val="4DC82D45"/>
    <w:rsid w:val="50225E22"/>
    <w:rsid w:val="552E3A44"/>
    <w:rsid w:val="56623148"/>
    <w:rsid w:val="571A361F"/>
    <w:rsid w:val="60745F3B"/>
    <w:rsid w:val="6A8F5933"/>
    <w:rsid w:val="71511E5F"/>
    <w:rsid w:val="719F7B15"/>
    <w:rsid w:val="782F7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ind w:firstLine="641" w:firstLineChars="200"/>
      <w:jc w:val="both"/>
    </w:pPr>
    <w:rPr>
      <w:rFonts w:asciiTheme="minorAscii" w:hAnsiTheme="minorAscii" w:eastAsiaTheme="minorEastAsia" w:cstheme="minorBidi"/>
      <w:sz w:val="24"/>
      <w:lang w:val="en-US" w:eastAsia="zh-CN" w:bidi="ar-SA"/>
    </w:rPr>
  </w:style>
  <w:style w:type="paragraph" w:styleId="2">
    <w:name w:val="heading 1"/>
    <w:basedOn w:val="1"/>
    <w:next w:val="3"/>
    <w:qFormat/>
    <w:uiPriority w:val="0"/>
    <w:pPr>
      <w:keepNext/>
      <w:keepLines/>
      <w:spacing w:before="480" w:after="0"/>
      <w:jc w:val="center"/>
      <w:outlineLvl w:val="0"/>
    </w:pPr>
    <w:rPr>
      <w:rFonts w:asciiTheme="majorAscii" w:hAnsiTheme="majorAscii" w:eastAsiaTheme="majorEastAsia" w:cstheme="majorBidi"/>
      <w:b/>
      <w:bCs/>
      <w:color w:val="000000" w:themeColor="text1"/>
      <w:sz w:val="28"/>
      <w:szCs w:val="32"/>
      <w:lang w:eastAsia="en-US"/>
      <w14:textFill>
        <w14:solidFill>
          <w14:schemeClr w14:val="tx1"/>
        </w14:solidFill>
      </w14:textFill>
    </w:rPr>
  </w:style>
  <w:style w:type="paragraph" w:styleId="4">
    <w:name w:val="heading 2"/>
    <w:basedOn w:val="1"/>
    <w:next w:val="3"/>
    <w:link w:val="151"/>
    <w:semiHidden/>
    <w:unhideWhenUsed/>
    <w:qFormat/>
    <w:uiPriority w:val="0"/>
    <w:pPr>
      <w:keepNext/>
      <w:keepLines/>
      <w:spacing w:before="200" w:after="0"/>
      <w:jc w:val="center"/>
      <w:outlineLvl w:val="1"/>
    </w:pPr>
    <w:rPr>
      <w:rFonts w:asciiTheme="majorAscii" w:hAnsiTheme="majorAscii" w:eastAsiaTheme="majorEastAsia" w:cstheme="majorBidi"/>
      <w:b/>
      <w:bCs/>
      <w:i/>
      <w:color w:val="000000" w:themeColor="text1"/>
      <w:szCs w:val="24"/>
      <w:lang w:eastAsia="en-US"/>
      <w14:textFill>
        <w14:solidFill>
          <w14:schemeClr w14:val="tx1"/>
        </w14:solidFill>
      </w14:textFill>
    </w:rPr>
  </w:style>
  <w:style w:type="paragraph" w:styleId="5">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6">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7">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8">
    <w:name w:val="heading 6"/>
    <w:basedOn w:val="1"/>
    <w:next w:val="3"/>
    <w:semiHidden/>
    <w:unhideWhenUsed/>
    <w:qFormat/>
    <w:uiPriority w:val="0"/>
    <w:pPr>
      <w:keepNext/>
      <w:keepLines/>
      <w:spacing w:before="200" w:after="0"/>
      <w:jc w:val="both"/>
      <w:outlineLvl w:val="5"/>
    </w:pPr>
    <w:rPr>
      <w:rFonts w:asciiTheme="majorAscii" w:hAnsiTheme="majorAscii" w:eastAsiaTheme="majorEastAsia" w:cstheme="majorBidi"/>
      <w:color w:val="000000" w:themeColor="text1"/>
      <w:sz w:val="20"/>
      <w:szCs w:val="24"/>
      <w:lang w:eastAsia="en-US"/>
      <w14:textFill>
        <w14:solidFill>
          <w14:schemeClr w14:val="tx1"/>
        </w14:solidFill>
      </w14:textFill>
    </w:rPr>
  </w:style>
  <w:style w:type="paragraph" w:styleId="9">
    <w:name w:val="heading 7"/>
    <w:basedOn w:val="1"/>
    <w:next w:val="1"/>
    <w:semiHidden/>
    <w:unhideWhenUsed/>
    <w:qFormat/>
    <w:uiPriority w:val="0"/>
    <w:pPr>
      <w:widowControl/>
      <w:spacing w:before="240" w:after="60"/>
      <w:outlineLvl w:val="6"/>
    </w:pPr>
    <w:rPr>
      <w:kern w:val="0"/>
      <w:sz w:val="24"/>
      <w:szCs w:val="24"/>
    </w:rPr>
  </w:style>
  <w:style w:type="paragraph" w:styleId="10">
    <w:name w:val="heading 8"/>
    <w:basedOn w:val="1"/>
    <w:next w:val="1"/>
    <w:semiHidden/>
    <w:unhideWhenUsed/>
    <w:qFormat/>
    <w:uiPriority w:val="0"/>
    <w:pPr>
      <w:widowControl/>
      <w:spacing w:before="240" w:after="60"/>
      <w:jc w:val="left"/>
      <w:outlineLvl w:val="7"/>
    </w:pPr>
    <w:rPr>
      <w:i/>
      <w:iCs/>
      <w:kern w:val="0"/>
      <w:sz w:val="24"/>
      <w:szCs w:val="24"/>
    </w:rPr>
  </w:style>
  <w:style w:type="paragraph" w:styleId="11">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2">
    <w:name w:val="Default Paragraph Font"/>
    <w:semiHidden/>
    <w:unhideWhenUsed/>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link w:val="152"/>
    <w:qFormat/>
    <w:uiPriority w:val="0"/>
    <w:pPr>
      <w:spacing w:before="0" w:after="140" w:line="276" w:lineRule="auto"/>
      <w:jc w:val="both"/>
    </w:pPr>
    <w:rPr>
      <w:rFonts w:ascii="Arial" w:hAnsi="Arial" w:eastAsia="NSimSun" w:cs="Lucida Sans"/>
      <w:color w:val="auto"/>
      <w:kern w:val="2"/>
      <w:szCs w:val="24"/>
      <w:lang w:val="ru-RU" w:bidi="hi-IN"/>
    </w:rPr>
  </w:style>
  <w:style w:type="character" w:styleId="14">
    <w:name w:val="HTML Sample"/>
    <w:basedOn w:val="12"/>
    <w:autoRedefine/>
    <w:qFormat/>
    <w:uiPriority w:val="0"/>
    <w:rPr>
      <w:rFonts w:ascii="Courier New" w:hAnsi="Courier New" w:cs="Courier New"/>
    </w:rPr>
  </w:style>
  <w:style w:type="character" w:styleId="15">
    <w:name w:val="FollowedHyperlink"/>
    <w:basedOn w:val="12"/>
    <w:autoRedefine/>
    <w:qFormat/>
    <w:uiPriority w:val="0"/>
    <w:rPr>
      <w:color w:val="800080"/>
      <w:u w:val="single"/>
    </w:rPr>
  </w:style>
  <w:style w:type="character" w:styleId="16">
    <w:name w:val="footnote reference"/>
    <w:basedOn w:val="12"/>
    <w:autoRedefine/>
    <w:qFormat/>
    <w:uiPriority w:val="0"/>
    <w:rPr>
      <w:vertAlign w:val="superscript"/>
    </w:rPr>
  </w:style>
  <w:style w:type="character" w:styleId="17">
    <w:name w:val="annotation reference"/>
    <w:basedOn w:val="12"/>
    <w:autoRedefine/>
    <w:qFormat/>
    <w:uiPriority w:val="0"/>
    <w:rPr>
      <w:sz w:val="21"/>
      <w:szCs w:val="21"/>
    </w:rPr>
  </w:style>
  <w:style w:type="character" w:styleId="18">
    <w:name w:val="endnote reference"/>
    <w:basedOn w:val="12"/>
    <w:autoRedefine/>
    <w:qFormat/>
    <w:uiPriority w:val="0"/>
    <w:rPr>
      <w:vertAlign w:val="superscript"/>
    </w:rPr>
  </w:style>
  <w:style w:type="character" w:styleId="19">
    <w:name w:val="HTML Acronym"/>
    <w:basedOn w:val="12"/>
    <w:autoRedefine/>
    <w:qFormat/>
    <w:uiPriority w:val="0"/>
  </w:style>
  <w:style w:type="character" w:styleId="20">
    <w:name w:val="Emphasis"/>
    <w:basedOn w:val="12"/>
    <w:autoRedefine/>
    <w:qFormat/>
    <w:uiPriority w:val="0"/>
    <w:rPr>
      <w:i/>
      <w:iCs/>
    </w:rPr>
  </w:style>
  <w:style w:type="character" w:styleId="21">
    <w:name w:val="Hyperlink"/>
    <w:basedOn w:val="12"/>
    <w:autoRedefine/>
    <w:qFormat/>
    <w:uiPriority w:val="0"/>
    <w:rPr>
      <w:color w:val="0000FF"/>
      <w:u w:val="single"/>
    </w:rPr>
  </w:style>
  <w:style w:type="character" w:styleId="22">
    <w:name w:val="HTML Keyboard"/>
    <w:basedOn w:val="12"/>
    <w:qFormat/>
    <w:uiPriority w:val="0"/>
    <w:rPr>
      <w:rFonts w:ascii="Courier New" w:hAnsi="Courier New" w:cs="Courier New"/>
      <w:sz w:val="20"/>
      <w:szCs w:val="20"/>
    </w:rPr>
  </w:style>
  <w:style w:type="character" w:styleId="23">
    <w:name w:val="HTML Code"/>
    <w:basedOn w:val="12"/>
    <w:autoRedefine/>
    <w:qFormat/>
    <w:uiPriority w:val="0"/>
    <w:rPr>
      <w:rFonts w:ascii="Courier New" w:hAnsi="Courier New" w:cs="Courier New"/>
      <w:sz w:val="20"/>
      <w:szCs w:val="20"/>
    </w:rPr>
  </w:style>
  <w:style w:type="character" w:styleId="24">
    <w:name w:val="page number"/>
    <w:basedOn w:val="12"/>
    <w:autoRedefine/>
    <w:qFormat/>
    <w:uiPriority w:val="0"/>
  </w:style>
  <w:style w:type="character" w:styleId="25">
    <w:name w:val="line number"/>
    <w:basedOn w:val="12"/>
    <w:qFormat/>
    <w:uiPriority w:val="0"/>
  </w:style>
  <w:style w:type="character" w:styleId="26">
    <w:name w:val="HTML Definition"/>
    <w:basedOn w:val="12"/>
    <w:autoRedefine/>
    <w:qFormat/>
    <w:uiPriority w:val="0"/>
    <w:rPr>
      <w:i/>
      <w:iCs/>
    </w:rPr>
  </w:style>
  <w:style w:type="character" w:styleId="27">
    <w:name w:val="HTML Variable"/>
    <w:basedOn w:val="12"/>
    <w:qFormat/>
    <w:uiPriority w:val="0"/>
    <w:rPr>
      <w:i/>
      <w:iCs/>
    </w:rPr>
  </w:style>
  <w:style w:type="character" w:styleId="28">
    <w:name w:val="HTML Typewriter"/>
    <w:basedOn w:val="12"/>
    <w:autoRedefine/>
    <w:qFormat/>
    <w:uiPriority w:val="0"/>
    <w:rPr>
      <w:rFonts w:ascii="Courier New" w:hAnsi="Courier New" w:cs="Courier New"/>
      <w:sz w:val="20"/>
      <w:szCs w:val="20"/>
    </w:rPr>
  </w:style>
  <w:style w:type="character" w:styleId="29">
    <w:name w:val="Strong"/>
    <w:basedOn w:val="12"/>
    <w:qFormat/>
    <w:uiPriority w:val="0"/>
    <w:rPr>
      <w:b/>
      <w:bCs/>
    </w:rPr>
  </w:style>
  <w:style w:type="character" w:styleId="30">
    <w:name w:val="HTML Cite"/>
    <w:basedOn w:val="12"/>
    <w:autoRedefine/>
    <w:qFormat/>
    <w:uiPriority w:val="0"/>
    <w:rPr>
      <w:i/>
      <w:iCs/>
    </w:rPr>
  </w:style>
  <w:style w:type="paragraph" w:styleId="31">
    <w:name w:val="Balloon Text"/>
    <w:basedOn w:val="1"/>
    <w:autoRedefine/>
    <w:qFormat/>
    <w:uiPriority w:val="0"/>
    <w:rPr>
      <w:sz w:val="16"/>
      <w:szCs w:val="16"/>
    </w:rPr>
  </w:style>
  <w:style w:type="paragraph" w:styleId="32">
    <w:name w:val="List 5"/>
    <w:basedOn w:val="1"/>
    <w:autoRedefine/>
    <w:qFormat/>
    <w:uiPriority w:val="0"/>
    <w:pPr>
      <w:ind w:left="1800" w:hanging="360"/>
    </w:pPr>
  </w:style>
  <w:style w:type="paragraph" w:styleId="33">
    <w:name w:val="List Continue"/>
    <w:basedOn w:val="1"/>
    <w:autoRedefine/>
    <w:qFormat/>
    <w:uiPriority w:val="0"/>
    <w:pPr>
      <w:spacing w:after="120"/>
      <w:ind w:left="360"/>
    </w:pPr>
  </w:style>
  <w:style w:type="paragraph" w:styleId="34">
    <w:name w:val="Body Text 2"/>
    <w:basedOn w:val="1"/>
    <w:qFormat/>
    <w:uiPriority w:val="0"/>
    <w:pPr>
      <w:spacing w:after="120" w:line="480" w:lineRule="auto"/>
    </w:pPr>
  </w:style>
  <w:style w:type="paragraph" w:styleId="35">
    <w:name w:val="List Number 5"/>
    <w:basedOn w:val="1"/>
    <w:qFormat/>
    <w:uiPriority w:val="0"/>
    <w:pPr>
      <w:numPr>
        <w:ilvl w:val="0"/>
        <w:numId w:val="1"/>
      </w:numPr>
    </w:pPr>
  </w:style>
  <w:style w:type="paragraph" w:styleId="36">
    <w:name w:val="Closing"/>
    <w:basedOn w:val="1"/>
    <w:autoRedefine/>
    <w:qFormat/>
    <w:uiPriority w:val="0"/>
    <w:pPr>
      <w:ind w:left="4320"/>
    </w:pPr>
  </w:style>
  <w:style w:type="paragraph" w:styleId="37">
    <w:name w:val="Normal Indent"/>
    <w:basedOn w:val="1"/>
    <w:autoRedefine/>
    <w:qFormat/>
    <w:uiPriority w:val="0"/>
    <w:pPr>
      <w:ind w:left="708"/>
    </w:pPr>
  </w:style>
  <w:style w:type="paragraph" w:styleId="38">
    <w:name w:val="envelope return"/>
    <w:basedOn w:val="1"/>
    <w:qFormat/>
    <w:uiPriority w:val="0"/>
    <w:rPr>
      <w:rFonts w:ascii="Arial" w:hAnsi="Arial" w:cs="Arial"/>
      <w:sz w:val="20"/>
    </w:rPr>
  </w:style>
  <w:style w:type="paragraph" w:styleId="39">
    <w:name w:val="Plain Text"/>
    <w:basedOn w:val="1"/>
    <w:qFormat/>
    <w:uiPriority w:val="0"/>
    <w:rPr>
      <w:rFonts w:ascii="Courier New" w:hAnsi="Courier New" w:cs="Courier New"/>
      <w:sz w:val="20"/>
    </w:rPr>
  </w:style>
  <w:style w:type="paragraph" w:styleId="40">
    <w:name w:val="Body Text Indent 3"/>
    <w:basedOn w:val="1"/>
    <w:qFormat/>
    <w:uiPriority w:val="0"/>
    <w:pPr>
      <w:spacing w:after="120"/>
      <w:ind w:left="360"/>
    </w:pPr>
    <w:rPr>
      <w:sz w:val="16"/>
      <w:szCs w:val="16"/>
    </w:rPr>
  </w:style>
  <w:style w:type="paragraph" w:styleId="41">
    <w:name w:val="endnote text"/>
    <w:basedOn w:val="1"/>
    <w:qFormat/>
    <w:uiPriority w:val="0"/>
    <w:pPr>
      <w:snapToGrid w:val="0"/>
      <w:jc w:val="left"/>
    </w:pPr>
  </w:style>
  <w:style w:type="paragraph" w:styleId="42">
    <w:name w:val="caption"/>
    <w:basedOn w:val="1"/>
    <w:next w:val="1"/>
    <w:semiHidden/>
    <w:unhideWhenUsed/>
    <w:qFormat/>
    <w:uiPriority w:val="0"/>
    <w:rPr>
      <w:rFonts w:ascii="Arial" w:hAnsi="Arial" w:eastAsia="黑体" w:cs="Arial"/>
      <w:sz w:val="20"/>
    </w:rPr>
  </w:style>
  <w:style w:type="paragraph" w:styleId="43">
    <w:name w:val="annotation text"/>
    <w:basedOn w:val="1"/>
    <w:qFormat/>
    <w:uiPriority w:val="0"/>
    <w:pPr>
      <w:jc w:val="left"/>
    </w:pPr>
  </w:style>
  <w:style w:type="paragraph" w:styleId="44">
    <w:name w:val="index 1"/>
    <w:basedOn w:val="1"/>
    <w:next w:val="1"/>
    <w:qFormat/>
    <w:uiPriority w:val="0"/>
  </w:style>
  <w:style w:type="paragraph" w:styleId="45">
    <w:name w:val="annotation subject"/>
    <w:basedOn w:val="43"/>
    <w:next w:val="43"/>
    <w:qFormat/>
    <w:uiPriority w:val="0"/>
    <w:rPr>
      <w:b/>
      <w:bCs/>
    </w:rPr>
  </w:style>
  <w:style w:type="paragraph" w:styleId="46">
    <w:name w:val="Document Map"/>
    <w:basedOn w:val="1"/>
    <w:qFormat/>
    <w:uiPriority w:val="0"/>
    <w:pPr>
      <w:shd w:val="clear" w:color="auto" w:fill="000080"/>
    </w:pPr>
  </w:style>
  <w:style w:type="paragraph" w:styleId="47">
    <w:name w:val="footnote text"/>
    <w:basedOn w:val="1"/>
    <w:qFormat/>
    <w:uiPriority w:val="0"/>
    <w:pPr>
      <w:snapToGrid w:val="0"/>
      <w:jc w:val="left"/>
    </w:pPr>
    <w:rPr>
      <w:sz w:val="18"/>
      <w:szCs w:val="18"/>
    </w:rPr>
  </w:style>
  <w:style w:type="paragraph" w:styleId="48">
    <w:name w:val="toc 8"/>
    <w:basedOn w:val="1"/>
    <w:next w:val="1"/>
    <w:qFormat/>
    <w:uiPriority w:val="0"/>
    <w:pPr>
      <w:ind w:left="2940" w:leftChars="1400"/>
    </w:pPr>
  </w:style>
  <w:style w:type="paragraph" w:styleId="49">
    <w:name w:val="index 2"/>
    <w:basedOn w:val="1"/>
    <w:next w:val="1"/>
    <w:qFormat/>
    <w:uiPriority w:val="0"/>
    <w:pPr>
      <w:ind w:left="200" w:leftChars="200"/>
    </w:pPr>
  </w:style>
  <w:style w:type="paragraph" w:styleId="50">
    <w:name w:val="List Number 3"/>
    <w:basedOn w:val="1"/>
    <w:qFormat/>
    <w:uiPriority w:val="0"/>
    <w:pPr>
      <w:numPr>
        <w:ilvl w:val="0"/>
        <w:numId w:val="2"/>
      </w:numPr>
    </w:pPr>
  </w:style>
  <w:style w:type="paragraph" w:styleId="51">
    <w:name w:val="HTML Address"/>
    <w:basedOn w:val="1"/>
    <w:qFormat/>
    <w:uiPriority w:val="0"/>
    <w:rPr>
      <w:i/>
      <w:iCs/>
    </w:rPr>
  </w:style>
  <w:style w:type="paragraph" w:styleId="52">
    <w:name w:val="index 7"/>
    <w:basedOn w:val="1"/>
    <w:next w:val="1"/>
    <w:qFormat/>
    <w:uiPriority w:val="0"/>
    <w:pPr>
      <w:ind w:left="1200" w:leftChars="1200"/>
    </w:pPr>
  </w:style>
  <w:style w:type="paragraph" w:styleId="53">
    <w:name w:val="index 3"/>
    <w:basedOn w:val="1"/>
    <w:next w:val="1"/>
    <w:qFormat/>
    <w:uiPriority w:val="0"/>
    <w:pPr>
      <w:ind w:left="400" w:leftChars="400"/>
    </w:pPr>
  </w:style>
  <w:style w:type="paragraph" w:styleId="54">
    <w:name w:val="index 5"/>
    <w:basedOn w:val="1"/>
    <w:next w:val="1"/>
    <w:qFormat/>
    <w:uiPriority w:val="0"/>
    <w:pPr>
      <w:ind w:left="800" w:leftChars="800"/>
    </w:pPr>
  </w:style>
  <w:style w:type="paragraph" w:styleId="55">
    <w:name w:val="index 4"/>
    <w:basedOn w:val="1"/>
    <w:next w:val="1"/>
    <w:qFormat/>
    <w:uiPriority w:val="0"/>
    <w:pPr>
      <w:ind w:left="600" w:leftChars="600"/>
    </w:pPr>
  </w:style>
  <w:style w:type="paragraph" w:styleId="56">
    <w:name w:val="header"/>
    <w:basedOn w:val="1"/>
    <w:qFormat/>
    <w:uiPriority w:val="0"/>
    <w:pPr>
      <w:tabs>
        <w:tab w:val="center" w:pos="4153"/>
        <w:tab w:val="right" w:pos="8306"/>
      </w:tabs>
    </w:pPr>
  </w:style>
  <w:style w:type="paragraph" w:styleId="57">
    <w:name w:val="toc 9"/>
    <w:basedOn w:val="1"/>
    <w:next w:val="1"/>
    <w:qFormat/>
    <w:uiPriority w:val="0"/>
    <w:pPr>
      <w:ind w:left="3360" w:leftChars="1600"/>
    </w:pPr>
  </w:style>
  <w:style w:type="paragraph" w:styleId="58">
    <w:name w:val="toc 7"/>
    <w:basedOn w:val="1"/>
    <w:next w:val="1"/>
    <w:qFormat/>
    <w:uiPriority w:val="0"/>
    <w:pPr>
      <w:ind w:left="2520" w:leftChars="1200"/>
    </w:pPr>
  </w:style>
  <w:style w:type="paragraph" w:styleId="59">
    <w:name w:val="index 6"/>
    <w:basedOn w:val="1"/>
    <w:next w:val="1"/>
    <w:qFormat/>
    <w:uiPriority w:val="0"/>
    <w:pPr>
      <w:ind w:left="1000" w:leftChars="1000"/>
    </w:pPr>
  </w:style>
  <w:style w:type="paragraph" w:styleId="60">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1">
    <w:name w:val="index 8"/>
    <w:basedOn w:val="1"/>
    <w:next w:val="1"/>
    <w:qFormat/>
    <w:uiPriority w:val="0"/>
    <w:pPr>
      <w:ind w:left="1400" w:leftChars="140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4"/>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3"/>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next w:val="3"/>
    <w:qFormat/>
    <w:uiPriority w:val="0"/>
    <w:pPr>
      <w:keepNext/>
      <w:keepLines/>
      <w:spacing w:before="480" w:after="240"/>
      <w:jc w:val="center"/>
    </w:pPr>
    <w:rPr>
      <w:rFonts w:asciiTheme="majorAscii" w:hAnsiTheme="majorAscii" w:eastAsiaTheme="majorEastAsia" w:cstheme="majorBidi"/>
      <w:b/>
      <w:bCs/>
      <w:color w:val="000000" w:themeColor="text1"/>
      <w:sz w:val="36"/>
      <w:szCs w:val="36"/>
      <w:lang w:eastAsia="en-US"/>
      <w14:textFill>
        <w14:solidFill>
          <w14:schemeClr w14:val="tx1"/>
        </w14:solidFill>
      </w14:textFill>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basedOn w:val="1"/>
    <w:qFormat/>
    <w:uiPriority w:val="0"/>
    <w:rPr>
      <w:sz w:val="24"/>
      <w:szCs w:val="24"/>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basedOn w:val="1"/>
    <w:qFormat/>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3"/>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3"/>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3"/>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3"/>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3"/>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3"/>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3"/>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3"/>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3"/>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3"/>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3"/>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3"/>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3"/>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3"/>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3"/>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3"/>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3"/>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3"/>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3"/>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3"/>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3"/>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3"/>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3"/>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3"/>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3"/>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Заголовок 2 Знак"/>
    <w:basedOn w:val="12"/>
    <w:link w:val="4"/>
    <w:qFormat/>
    <w:uiPriority w:val="9"/>
    <w:rPr>
      <w:rFonts w:asciiTheme="majorAscii" w:hAnsiTheme="majorAscii" w:eastAsiaTheme="majorEastAsia" w:cstheme="majorBidi"/>
      <w:b/>
      <w:color w:val="4874CB" w:themeColor="accent1"/>
      <w:sz w:val="28"/>
      <w:szCs w:val="28"/>
      <w:lang w:val="ru-RU" w:eastAsia="en-US"/>
      <w14:textFill>
        <w14:solidFill>
          <w14:schemeClr w14:val="accent1"/>
        </w14:solidFill>
      </w14:textFill>
    </w:rPr>
  </w:style>
  <w:style w:type="character" w:customStyle="1" w:styleId="152">
    <w:name w:val="Body Text Char"/>
    <w:basedOn w:val="12"/>
    <w:link w:val="3"/>
    <w:qFormat/>
    <w:uiPriority w:val="0"/>
    <w:rPr>
      <w:rFonts w:eastAsia="NSimSun" w:cs="Lucida Sans" w:asciiTheme="minorAscii" w:hAnsiTheme="minorAscii"/>
      <w:color w:val="auto"/>
      <w:kern w:val="2"/>
      <w:szCs w:val="24"/>
      <w:lang w:val="ru-RU" w:eastAsia="en-US" w:bidi="hi-IN"/>
    </w:rPr>
  </w:style>
  <w:style w:type="paragraph" w:customStyle="1" w:styleId="153">
    <w:name w:val="Image Caption"/>
    <w:basedOn w:val="42"/>
    <w:qFormat/>
    <w:uiPriority w:val="0"/>
    <w:pPr>
      <w:jc w:val="both"/>
    </w:pPr>
    <w:rPr>
      <w:rFonts w:asciiTheme="minorAscii" w:hAnsiTheme="minorAscii" w:eastAsiaTheme="minorEastAsia" w:cstheme="minorBidi"/>
      <w:i/>
      <w:sz w:val="20"/>
      <w:szCs w:val="24"/>
      <w:lang w:eastAsia="en-US"/>
    </w:rPr>
  </w:style>
  <w:style w:type="paragraph" w:customStyle="1" w:styleId="154">
    <w:name w:val="Table"/>
    <w:basedOn w:val="1"/>
    <w:next w:val="1"/>
    <w:qFormat/>
    <w:uiPriority w:val="0"/>
    <w:pPr>
      <w:spacing w:before="36" w:after="36"/>
    </w:pPr>
    <w:rPr>
      <w:rFonts w:ascii="Times New Roman" w:hAnsi="Times New Roman" w:cs="Times New Roman" w:eastAsiaTheme="minorEastAsia"/>
      <w:sz w:val="16"/>
      <w:szCs w:val="16"/>
      <w:lang w:val="ru-RU"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1276</Words>
  <Characters>7043</Characters>
  <Lines>0</Lines>
  <Paragraphs>0</Paragraphs>
  <TotalTime>161</TotalTime>
  <ScaleCrop>false</ScaleCrop>
  <LinksUpToDate>false</LinksUpToDate>
  <CharactersWithSpaces>8292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2026-04-02T13:03:00Z</dcterms:created>
  <dc:creator>WPS_1775125980</dc:creator>
  <cp:lastModifiedBy>WPS_1775125980</cp:lastModifiedBy>
  <dcterms:modified xsi:type="dcterms:W3CDTF">2026-04-20T16:23:52Z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ICV">
    <vt:lpwstr>BCBD81BE56554F94ACB07315316EB088_11</vt:lpwstr>
  </property>
  <property fmtid="{D5CDD505-2E9C-101B-9397-08002B2CF9AE}" pid="4" name="KSOTemplateDocerSaveRecord">
    <vt:lpwstr>eyJoZGlkIjoiNGI5N2MxZmVjMDQ1ZWNjODI2ODFiYTk0ZTA3M2RjODQiLCJ1c2VySWQiOiI4MjQ2MzQ1OTkzMjcifQ==</vt:lpwstr>
  </property>
</Properties>
</file>