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BF597A3">
      <w:pPr>
        <w:rPr>
          <w:rFonts w:hint="default"/>
          <w:color w:val="auto"/>
          <w:highlight w:val="none"/>
          <w:lang w:val="ru-RU"/>
        </w:rPr>
      </w:pPr>
      <w:r>
        <w:rPr>
          <w:color w:val="auto"/>
          <w:highlight w:val="none"/>
          <w:lang w:val="ru-RU"/>
        </w:rPr>
        <w:t>Авторы</w:t>
      </w:r>
      <w:r>
        <w:rPr>
          <w:rFonts w:hint="default"/>
          <w:color w:val="auto"/>
          <w:highlight w:val="none"/>
          <w:lang w:val="ru-RU"/>
        </w:rPr>
        <w:t xml:space="preserve"> </w:t>
      </w:r>
    </w:p>
    <w:p w14:paraId="33E24C26">
      <w:pPr>
        <w:rPr>
          <w:rFonts w:hint="default"/>
          <w:color w:val="auto"/>
          <w:highlight w:val="none"/>
          <w:lang w:val="en-US"/>
        </w:rPr>
      </w:pPr>
      <w:r>
        <w:rPr>
          <w:rFonts w:hint="default"/>
          <w:color w:val="auto"/>
          <w:highlight w:val="none"/>
          <w:lang w:val="ru-RU"/>
        </w:rPr>
        <w:t>Хайтов Вадим Михайлович</w:t>
      </w:r>
    </w:p>
    <w:p w14:paraId="4F42C481">
      <w:pPr>
        <w:rPr>
          <w:rFonts w:hint="default"/>
          <w:color w:val="auto"/>
          <w:highlight w:val="none"/>
          <w:lang w:val="ru-RU"/>
        </w:rPr>
      </w:pPr>
      <w:r>
        <w:rPr>
          <w:rFonts w:hint="default"/>
          <w:color w:val="auto"/>
          <w:highlight w:val="none"/>
          <w:lang w:val="ru-RU"/>
        </w:rPr>
        <w:t>Сенкт-Петербургский государтвенный университет, кафедра Зоологии беспозвоночных</w:t>
      </w:r>
    </w:p>
    <w:p w14:paraId="24052CB8">
      <w:pPr>
        <w:rPr>
          <w:rFonts w:hint="default"/>
          <w:color w:val="auto"/>
          <w:highlight w:val="none"/>
          <w:lang w:val="ru-RU"/>
        </w:rPr>
      </w:pPr>
      <w:r>
        <w:rPr>
          <w:rFonts w:hint="default"/>
          <w:color w:val="auto"/>
          <w:highlight w:val="none"/>
          <w:lang w:val="ru-RU"/>
        </w:rPr>
        <w:t>ФГБУ «Кандалакшский государственный заповедник»</w:t>
      </w:r>
    </w:p>
    <w:p w14:paraId="50F2CA80">
      <w:pPr>
        <w:rPr>
          <w:rFonts w:hint="default"/>
          <w:color w:val="auto"/>
          <w:highlight w:val="none"/>
          <w:lang w:val="ru-RU"/>
        </w:rPr>
      </w:pPr>
    </w:p>
    <w:p w14:paraId="499A03AE">
      <w:pPr>
        <w:rPr>
          <w:rFonts w:hint="default"/>
          <w:color w:val="auto"/>
          <w:highlight w:val="none"/>
          <w:lang w:val="ru-RU"/>
        </w:rPr>
      </w:pPr>
      <w:r>
        <w:rPr>
          <w:rFonts w:hint="default"/>
          <w:color w:val="auto"/>
          <w:highlight w:val="none"/>
          <w:lang w:val="ru-RU"/>
        </w:rPr>
        <w:t>Бутаковская Мария Павловна</w:t>
      </w:r>
    </w:p>
    <w:p w14:paraId="2A62963E">
      <w:pPr>
        <w:rPr>
          <w:rFonts w:hint="default"/>
          <w:color w:val="auto"/>
          <w:highlight w:val="none"/>
          <w:lang w:val="ru-RU"/>
        </w:rPr>
      </w:pPr>
      <w:r>
        <w:rPr>
          <w:rFonts w:hint="default"/>
          <w:color w:val="auto"/>
          <w:highlight w:val="none"/>
          <w:lang w:val="ru-RU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Великого».</w:t>
      </w:r>
    </w:p>
    <w:p w14:paraId="2B7F468F">
      <w:pPr>
        <w:rPr>
          <w:rFonts w:hint="default"/>
          <w:color w:val="auto"/>
          <w:highlight w:val="none"/>
          <w:lang w:val="ru-RU"/>
        </w:rPr>
      </w:pPr>
    </w:p>
    <w:p w14:paraId="74B35ED1">
      <w:pPr>
        <w:rPr>
          <w:rFonts w:hint="default"/>
          <w:color w:val="auto"/>
          <w:highlight w:val="none"/>
          <w:lang w:val="ru-RU"/>
        </w:rPr>
      </w:pPr>
      <w:r>
        <w:rPr>
          <w:rFonts w:hint="default"/>
          <w:color w:val="auto"/>
          <w:highlight w:val="none"/>
          <w:lang w:val="ru-RU"/>
        </w:rPr>
        <w:t xml:space="preserve">Башилов Константин Вячеславович </w:t>
      </w:r>
    </w:p>
    <w:p w14:paraId="09B3C627">
      <w:pPr>
        <w:rPr>
          <w:rFonts w:hint="default"/>
          <w:color w:val="auto"/>
          <w:highlight w:val="none"/>
          <w:lang w:val="ru-RU"/>
        </w:rPr>
      </w:pPr>
      <w:r>
        <w:rPr>
          <w:rFonts w:hint="default"/>
          <w:color w:val="auto"/>
          <w:highlight w:val="none"/>
          <w:lang w:val="ru-RU"/>
        </w:rPr>
        <w:t xml:space="preserve">ГБНОУ «Санкт-Петербургский городской Дворец творчества юных», Эколого-биологический центр «Крестовский остров», Лаборатория экологии морского бентоса (гидробиологии)   </w:t>
      </w:r>
    </w:p>
    <w:p w14:paraId="7B89FF99">
      <w:pPr>
        <w:rPr>
          <w:color w:val="auto"/>
          <w:highlight w:val="none"/>
          <w:lang w:val="ru-RU"/>
        </w:rPr>
      </w:pPr>
    </w:p>
    <w:p w14:paraId="59D2B493">
      <w:pPr>
        <w:rPr>
          <w:color w:val="auto"/>
          <w:highlight w:val="none"/>
          <w:lang w:val="ru-RU"/>
        </w:rPr>
      </w:pPr>
    </w:p>
    <w:p w14:paraId="467726C2">
      <w:pPr>
        <w:rPr>
          <w:color w:val="auto"/>
          <w:highlight w:val="none"/>
          <w:lang w:val="ru-RU"/>
        </w:rPr>
      </w:pPr>
    </w:p>
    <w:p w14:paraId="41D1DC7D">
      <w:pPr>
        <w:rPr>
          <w:rFonts w:hint="default"/>
          <w:color w:val="auto"/>
          <w:highlight w:val="none"/>
          <w:lang w:val="ru-RU"/>
        </w:rPr>
      </w:pPr>
      <w:r>
        <w:rPr>
          <w:color w:val="auto"/>
          <w:highlight w:val="none"/>
          <w:lang w:val="ru-RU"/>
        </w:rPr>
        <w:t>К</w:t>
      </w:r>
      <w:r>
        <w:rPr>
          <w:rFonts w:hint="default"/>
          <w:color w:val="auto"/>
          <w:highlight w:val="none"/>
          <w:lang w:val="ru-RU"/>
        </w:rPr>
        <w:t xml:space="preserve"> материалам и методам</w:t>
      </w:r>
    </w:p>
    <w:p w14:paraId="6FE2AFD6">
      <w:pPr>
        <w:rPr>
          <w:rFonts w:hint="default"/>
          <w:color w:val="auto"/>
          <w:highlight w:val="none"/>
          <w:lang w:val="ru-RU"/>
        </w:rPr>
      </w:pPr>
    </w:p>
    <w:p w14:paraId="617E8695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 xml:space="preserve">Анализ морских 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  <w:t xml:space="preserve">фоссилий </w:t>
      </w:r>
    </w:p>
    <w:p w14:paraId="76873DC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Для сбора эуфоссилий и ихнофоссилий морских беспозвоночных производили расчистку разреза от уровня современного почвенного слоя до глубины 240 см. Ниже указанной отметки располагалась морена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  <w:t xml:space="preserve"> (рис. ++)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 xml:space="preserve">, препятствовавшая проведению анализа более древних отложений. При расчистке отмечали визуально выраженные фоссилии, положение которых отмечали на схеме разреза. Для более детального анализа образцы извлекали вместе с окружающим грунтом, фиксировали цианакрилатным клеем и транспортировали в лабораторию. Для определения видовой принадлежности фоссилий проводили сравнение образцов с рецентными формами беломорской макрофауны.  </w:t>
      </w:r>
    </w:p>
    <w:p w14:paraId="2EC1A90F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</w:p>
    <w:p w14:paraId="1184D4A8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  <w:t>Анализ распределения по глубине рецентных видов</w:t>
      </w:r>
    </w:p>
    <w:p w14:paraId="73661747">
      <w:pPr>
        <w:spacing w:after="0" w:line="240" w:lineRule="auto"/>
        <w:ind w:firstLine="709"/>
        <w:jc w:val="both"/>
        <w:rPr>
          <w:rFonts w:hint="default"/>
          <w:color w:val="auto"/>
          <w:highlight w:val="none"/>
          <w:lang w:val="ru-RU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После отнесения фоссилий к наиболее вероятному виду, проводили поиск данных о связи рецентного вида с глубиной. С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помощью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пакета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lang w:val="en-US"/>
        </w:rPr>
        <w:t xml:space="preserve"> “robis” (</w:t>
      </w:r>
      <w:commentRangeStart w:id="0"/>
      <w:r>
        <w:rPr>
          <w:rFonts w:ascii="Times New Roman" w:hAnsi="Times New Roman"/>
          <w:color w:val="auto"/>
          <w:sz w:val="24"/>
          <w:szCs w:val="24"/>
          <w:highlight w:val="none"/>
          <w:lang w:val="en-US"/>
        </w:rPr>
        <w:t>Provoost, Bosch, 2022</w:t>
      </w:r>
      <w:commentRangeEnd w:id="0"/>
      <w:r>
        <w:commentReference w:id="0"/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lang w:val="en-US"/>
        </w:rPr>
        <w:t>)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  <w:t xml:space="preserve"> из среды языка статистического программиования 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/>
        </w:rPr>
        <w:t>R (</w:t>
      </w:r>
      <w:commentRangeStart w:id="1"/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/>
        </w:rPr>
        <w:t>R core team, 2023</w:t>
      </w:r>
      <w:commentRangeEnd w:id="1"/>
      <w:r>
        <w:commentReference w:id="1"/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/>
        </w:rPr>
        <w:t>)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были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сделаны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запросы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в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lang w:val="en-US"/>
        </w:rPr>
        <w:t xml:space="preserve"> </w:t>
      </w:r>
      <w:commentRangeStart w:id="2"/>
      <w:r>
        <w:rPr>
          <w:rFonts w:ascii="Times New Roman" w:hAnsi="Times New Roman"/>
          <w:color w:val="auto"/>
          <w:sz w:val="24"/>
          <w:szCs w:val="24"/>
          <w:highlight w:val="none"/>
          <w:lang w:val="en-US"/>
        </w:rPr>
        <w:t>Ocean Biodiversity Information System (OBIS</w:t>
      </w:r>
      <w:r>
        <w:rPr>
          <w:rFonts w:hint="default" w:ascii="Times New Roman" w:hAnsi="Times New Roman"/>
          <w:color w:val="auto"/>
          <w:sz w:val="24"/>
          <w:szCs w:val="24"/>
          <w:highlight w:val="none"/>
          <w:lang w:val="en-US"/>
        </w:rPr>
        <w:t>, 2025</w:t>
      </w:r>
      <w:r>
        <w:rPr>
          <w:rFonts w:ascii="Times New Roman" w:hAnsi="Times New Roman"/>
          <w:color w:val="auto"/>
          <w:sz w:val="24"/>
          <w:szCs w:val="24"/>
          <w:highlight w:val="none"/>
          <w:lang w:val="en-US"/>
        </w:rPr>
        <w:t>)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lang w:val="en-US"/>
        </w:rPr>
        <w:t xml:space="preserve"> </w:t>
      </w:r>
      <w:commentRangeEnd w:id="2"/>
      <w:r>
        <w:rPr>
          <w:color w:val="auto"/>
          <w:highlight w:val="none"/>
        </w:rPr>
        <w:commentReference w:id="2"/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 xml:space="preserve">. Из полученных данных были отфильтрованы только локации из Северного Ледовитого Океана. Для каждого таксона ранга вида были 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lang w:val="ru-RU"/>
        </w:rPr>
        <w:t>получены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>значени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  <w:lang w:val="ru-RU"/>
        </w:rPr>
        <w:t>я</w:t>
      </w:r>
      <w:r>
        <w:rPr>
          <w:rFonts w:ascii="Times New Roman" w:hAnsi="Times New Roman" w:cs="Times New Roman"/>
          <w:color w:val="auto"/>
          <w:sz w:val="24"/>
          <w:szCs w:val="24"/>
          <w:highlight w:val="none"/>
        </w:rPr>
        <w:t xml:space="preserve"> глубины, на которой данный вид был отмечен в запросе из OB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en-US"/>
        </w:rPr>
        <w:t>IS.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  <w:t xml:space="preserve"> Центральная тенденция в полученном ряду значений глубины была охарактеризована медианой.</w:t>
      </w:r>
    </w:p>
    <w:p w14:paraId="7E09B0C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</w:p>
    <w:p w14:paraId="1CBD5EA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</w:p>
    <w:p w14:paraId="0A21E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</w:p>
    <w:p w14:paraId="35F50A47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  <w:t>К изложению результатов</w:t>
      </w:r>
    </w:p>
    <w:p w14:paraId="7B336A4B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</w:pPr>
    </w:p>
    <w:p w14:paraId="4AF3B6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Вертикальное распределение эуфоссилий и ихнофоссилий донных беспозвоночных </w:t>
      </w:r>
    </w:p>
    <w:p w14:paraId="37F41D9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</w:p>
    <w:p w14:paraId="66EE835A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>Схема разреза приведена в таблице  ++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  Самые нижние (наиболее древние) слои изученной части разреза (глубина 240 см) занимает морена, сложенная крупными 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камнями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(Рис. ++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 Чуть выше морены (глубина 200-210 см) располагается слой, состоящий из более мелких камней, пространство между которыми заполнено мелкодисперсными осадками. Вокруг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указанных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мелких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камней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и крупных камней </w:t>
      </w:r>
      <w:r>
        <w:rPr>
          <w:rFonts w:ascii="Times New Roman" w:hAnsi="Times New Roman" w:cs="Times New Roman"/>
          <w:sz w:val="24"/>
          <w:szCs w:val="24"/>
          <w:highlight w:val="none"/>
        </w:rPr>
        <w:t>морены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наблюдаются ожелезненные участки, часто сопряженные с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крупными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>трубк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ами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полихет, прилегающих к камням (рис. ++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A, B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).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Данные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ихнофоссилии были идентифицированы как трубки червей семейства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Maldanidae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- 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  <w:lang w:val="en-US"/>
        </w:rPr>
        <w:t>Nicomache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  <w:lang w:val="en-US"/>
        </w:rPr>
        <w:t>minor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sz w:val="24"/>
          <w:szCs w:val="24"/>
          <w:highlight w:val="none"/>
        </w:rPr>
        <w:t>(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Табл. ++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2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)</w:t>
      </w:r>
      <w:r>
        <w:rPr>
          <w:rFonts w:ascii="Times New Roman" w:hAnsi="Times New Roman"/>
          <w:sz w:val="24"/>
          <w:szCs w:val="24"/>
          <w:highlight w:val="none"/>
        </w:rPr>
        <w:t xml:space="preserve">. </w:t>
      </w:r>
    </w:p>
    <w:p w14:paraId="72CA144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  <w:highlight w:val="none"/>
        </w:rPr>
        <w:t>Выше описанного слоя располагается слой (180-200 см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, Табл. ++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1</w:t>
      </w:r>
      <w:r>
        <w:rPr>
          <w:rFonts w:ascii="Times New Roman" w:hAnsi="Times New Roman"/>
          <w:sz w:val="24"/>
          <w:szCs w:val="24"/>
          <w:highlight w:val="none"/>
        </w:rPr>
        <w:t>) серых отложений лишенный оста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>т</w:t>
      </w:r>
      <w:r>
        <w:rPr>
          <w:rFonts w:ascii="Times New Roman" w:hAnsi="Times New Roman"/>
          <w:sz w:val="24"/>
          <w:szCs w:val="24"/>
          <w:highlight w:val="none"/>
        </w:rPr>
        <w:t>ков макроорганизмов.</w:t>
      </w:r>
    </w:p>
    <w:p w14:paraId="75BE9F3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Далее, на глубине (120-180 см), располагается слой с богато представленными </w:t>
      </w:r>
      <w:r>
        <w:rPr>
          <w:rFonts w:ascii="Times New Roman" w:hAnsi="Times New Roman" w:cs="Times New Roman"/>
          <w:sz w:val="24"/>
          <w:szCs w:val="24"/>
          <w:highlight w:val="none"/>
        </w:rPr>
        <w:t>эуфоссилиями и ихнофоссилиями</w:t>
      </w:r>
      <w:r>
        <w:rPr>
          <w:rFonts w:ascii="Times New Roman" w:hAnsi="Times New Roman"/>
          <w:sz w:val="24"/>
          <w:szCs w:val="24"/>
          <w:highlight w:val="none"/>
        </w:rPr>
        <w:t>. На данном уровне разреза наблюдается чередование слоев с различной концентрацией железа, на которую указывает характерный ржавый цвет (рис. ++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1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, 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F</w:t>
      </w:r>
      <w:r>
        <w:rPr>
          <w:rFonts w:ascii="Times New Roman" w:hAnsi="Times New Roman"/>
          <w:sz w:val="24"/>
          <w:szCs w:val="24"/>
          <w:highlight w:val="none"/>
        </w:rPr>
        <w:t xml:space="preserve">). </w:t>
      </w:r>
    </w:p>
    <w:p w14:paraId="18FCA794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/>
          <w:sz w:val="24"/>
          <w:szCs w:val="24"/>
          <w:highlight w:val="none"/>
        </w:rPr>
        <w:t>В нижней части описываемо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>й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 части </w:t>
      </w:r>
      <w:r>
        <w:rPr>
          <w:rFonts w:ascii="Times New Roman" w:hAnsi="Times New Roman"/>
          <w:sz w:val="24"/>
          <w:szCs w:val="24"/>
          <w:highlight w:val="none"/>
        </w:rPr>
        <w:t>разреза (110-180 см) в большом количестве представлены трубки полихет с очень характерной чередующейся укладкой светлых и темных частиц (Рис. ++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1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, 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D, E</w:t>
      </w:r>
      <w:r>
        <w:rPr>
          <w:rFonts w:ascii="Times New Roman" w:hAnsi="Times New Roman"/>
          <w:sz w:val="24"/>
          <w:szCs w:val="24"/>
          <w:highlight w:val="none"/>
        </w:rPr>
        <w:t xml:space="preserve">). Аналогичную 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>признаки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 (Табл. ++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2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) типичны для</w:t>
      </w:r>
      <w:r>
        <w:rPr>
          <w:rFonts w:ascii="Times New Roman" w:hAnsi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highlight w:val="none"/>
          <w:lang w:val="en-US"/>
        </w:rPr>
        <w:t>Galathowenia</w:t>
      </w:r>
      <w:r>
        <w:rPr>
          <w:rFonts w:ascii="Times New Roman" w:hAnsi="Times New Roman"/>
          <w:i/>
          <w:iCs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highlight w:val="none"/>
          <w:lang w:val="en-US"/>
        </w:rPr>
        <w:t>oculata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,  </w:t>
      </w:r>
      <w:r>
        <w:rPr>
          <w:rFonts w:ascii="Times New Roman" w:hAnsi="Times New Roman"/>
          <w:sz w:val="24"/>
          <w:szCs w:val="24"/>
          <w:highlight w:val="none"/>
        </w:rPr>
        <w:t>семейств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>о</w:t>
      </w:r>
      <w:r>
        <w:rPr>
          <w:rFonts w:ascii="Times New Roman" w:hAnsi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sz w:val="24"/>
          <w:szCs w:val="24"/>
          <w:highlight w:val="none"/>
          <w:lang w:val="en-US"/>
        </w:rPr>
        <w:t>Oweniid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a</w:t>
      </w:r>
      <w:r>
        <w:rPr>
          <w:rFonts w:ascii="Times New Roman" w:hAnsi="Times New Roman"/>
          <w:sz w:val="24"/>
          <w:szCs w:val="24"/>
          <w:highlight w:val="none"/>
          <w:lang w:val="en-US"/>
        </w:rPr>
        <w:t>e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, трубки которых </w:t>
      </w:r>
      <w:r>
        <w:rPr>
          <w:rFonts w:ascii="Times New Roman" w:hAnsi="Times New Roman"/>
          <w:sz w:val="24"/>
          <w:szCs w:val="24"/>
          <w:highlight w:val="none"/>
        </w:rPr>
        <w:t>устойчивы к механическому разрушению.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 xml:space="preserve"> </w:t>
      </w:r>
    </w:p>
    <w:p w14:paraId="672A6876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Вместе с трубками, описанными выше, в </w:t>
      </w:r>
      <w:r>
        <w:rPr>
          <w:rFonts w:ascii="Times New Roman" w:hAnsi="Times New Roman"/>
          <w:sz w:val="24"/>
          <w:szCs w:val="24"/>
          <w:highlight w:val="none"/>
        </w:rPr>
        <w:t>грунте разреза отмечены многочисленные фрагменты и практические целые периостракумы моллюсков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 xml:space="preserve"> (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Табл. ++2, </w:t>
      </w:r>
      <w:r>
        <w:rPr>
          <w:rFonts w:ascii="Times New Roman" w:hAnsi="Times New Roman"/>
          <w:sz w:val="24"/>
          <w:szCs w:val="24"/>
          <w:highlight w:val="none"/>
        </w:rPr>
        <w:t>рис. ++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1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, D, E)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, надежно узнаваемых как </w:t>
      </w:r>
      <w:r>
        <w:rPr>
          <w:rFonts w:ascii="Times New Roman" w:hAnsi="Times New Roman"/>
          <w:i/>
          <w:iCs/>
          <w:sz w:val="24"/>
          <w:szCs w:val="24"/>
          <w:highlight w:val="none"/>
          <w:lang w:val="en-US"/>
        </w:rPr>
        <w:t>Portlandia</w:t>
      </w:r>
      <w:r>
        <w:rPr>
          <w:rFonts w:ascii="Times New Roman" w:hAnsi="Times New Roman"/>
          <w:i/>
          <w:iCs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highlight w:val="none"/>
          <w:lang w:val="en-US"/>
        </w:rPr>
        <w:t>arctica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 xml:space="preserve">. </w:t>
      </w:r>
    </w:p>
    <w:p w14:paraId="7419E4BB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  <w:highlight w:val="none"/>
        </w:rPr>
        <w:t xml:space="preserve">Выше слоев описанного комплекса, без резкого перехода, располагается слой (70-100 см), в котором частыми 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>фоссилиями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 являются </w:t>
      </w:r>
      <w:r>
        <w:rPr>
          <w:rFonts w:ascii="Times New Roman" w:hAnsi="Times New Roman"/>
          <w:sz w:val="24"/>
          <w:szCs w:val="24"/>
          <w:highlight w:val="none"/>
        </w:rPr>
        <w:t>ядра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highlight w:val="none"/>
        </w:rPr>
        <w:t>двустворчатых моллюсков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 (оформленные конгломераты частиц грунта, лишенные кальцинированных створок)</w:t>
      </w:r>
      <w:r>
        <w:rPr>
          <w:rFonts w:ascii="Times New Roman" w:hAnsi="Times New Roman"/>
          <w:sz w:val="24"/>
          <w:szCs w:val="24"/>
          <w:highlight w:val="none"/>
        </w:rPr>
        <w:t>. Вместе с тем, форма ядер (рис. ++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1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, G</w:t>
      </w:r>
      <w:r>
        <w:rPr>
          <w:rFonts w:ascii="Times New Roman" w:hAnsi="Times New Roman"/>
          <w:sz w:val="24"/>
          <w:szCs w:val="24"/>
          <w:highlight w:val="none"/>
        </w:rPr>
        <w:t xml:space="preserve">) соответствуют форме раковины </w:t>
      </w:r>
      <w:r>
        <w:rPr>
          <w:rFonts w:ascii="Times New Roman" w:hAnsi="Times New Roman"/>
          <w:i/>
          <w:iCs/>
          <w:sz w:val="24"/>
          <w:szCs w:val="24"/>
          <w:highlight w:val="none"/>
          <w:lang w:val="en-US"/>
        </w:rPr>
        <w:t>Macoma</w:t>
      </w:r>
      <w:r>
        <w:rPr>
          <w:rFonts w:ascii="Times New Roman" w:hAnsi="Times New Roman"/>
          <w:i/>
          <w:iCs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highlight w:val="none"/>
          <w:lang w:val="en-US"/>
        </w:rPr>
        <w:t>sp</w:t>
      </w:r>
      <w:r>
        <w:rPr>
          <w:rFonts w:ascii="Times New Roman" w:hAnsi="Times New Roman"/>
          <w:sz w:val="24"/>
          <w:szCs w:val="24"/>
          <w:highlight w:val="none"/>
        </w:rPr>
        <w:t xml:space="preserve">. В современной фауне Белого моря мягкие грунты верхних отделов сублиторали заселяют два вида </w:t>
      </w:r>
      <w:r>
        <w:rPr>
          <w:rFonts w:ascii="Times New Roman" w:hAnsi="Times New Roman"/>
          <w:i/>
          <w:iCs/>
          <w:sz w:val="24"/>
          <w:szCs w:val="24"/>
          <w:highlight w:val="none"/>
          <w:lang w:val="en-US"/>
        </w:rPr>
        <w:t>M</w:t>
      </w:r>
      <w:r>
        <w:rPr>
          <w:rFonts w:ascii="Times New Roman" w:hAnsi="Times New Roman"/>
          <w:i/>
          <w:iCs/>
          <w:sz w:val="24"/>
          <w:szCs w:val="24"/>
          <w:highlight w:val="none"/>
        </w:rPr>
        <w:t xml:space="preserve">. </w:t>
      </w:r>
      <w:r>
        <w:rPr>
          <w:rFonts w:ascii="Times New Roman" w:hAnsi="Times New Roman"/>
          <w:i/>
          <w:iCs/>
          <w:sz w:val="24"/>
          <w:szCs w:val="24"/>
          <w:highlight w:val="none"/>
          <w:lang w:val="en-US"/>
        </w:rPr>
        <w:t>balthica</w:t>
      </w:r>
      <w:r>
        <w:rPr>
          <w:rFonts w:ascii="Times New Roman" w:hAnsi="Times New Roman"/>
          <w:sz w:val="24"/>
          <w:szCs w:val="24"/>
          <w:highlight w:val="none"/>
        </w:rPr>
        <w:t xml:space="preserve"> и  </w:t>
      </w:r>
      <w:r>
        <w:rPr>
          <w:rFonts w:ascii="Times New Roman" w:hAnsi="Times New Roman"/>
          <w:i/>
          <w:iCs/>
          <w:sz w:val="24"/>
          <w:szCs w:val="24"/>
          <w:highlight w:val="none"/>
          <w:lang w:val="en-US"/>
        </w:rPr>
        <w:t>M</w:t>
      </w:r>
      <w:r>
        <w:rPr>
          <w:rFonts w:ascii="Times New Roman" w:hAnsi="Times New Roman"/>
          <w:i/>
          <w:iCs/>
          <w:sz w:val="24"/>
          <w:szCs w:val="24"/>
          <w:highlight w:val="none"/>
        </w:rPr>
        <w:t xml:space="preserve">. </w:t>
      </w:r>
      <w:r>
        <w:rPr>
          <w:rFonts w:ascii="Times New Roman" w:hAnsi="Times New Roman"/>
          <w:i/>
          <w:iCs/>
          <w:sz w:val="24"/>
          <w:szCs w:val="24"/>
          <w:highlight w:val="none"/>
          <w:lang w:val="en-US"/>
        </w:rPr>
        <w:t>calcarea</w:t>
      </w:r>
      <w:r>
        <w:rPr>
          <w:rFonts w:ascii="Times New Roman" w:hAnsi="Times New Roman"/>
          <w:sz w:val="24"/>
          <w:szCs w:val="24"/>
          <w:highlight w:val="none"/>
        </w:rPr>
        <w:t xml:space="preserve">, где эти два вида формируют ассоциацию с полихетами семейства </w:t>
      </w:r>
      <w:r>
        <w:rPr>
          <w:rFonts w:ascii="Times New Roman" w:hAnsi="Times New Roman"/>
          <w:sz w:val="24"/>
          <w:szCs w:val="24"/>
          <w:highlight w:val="none"/>
          <w:lang w:val="en-US"/>
        </w:rPr>
        <w:t>Spionidae</w:t>
      </w:r>
      <w:r>
        <w:rPr>
          <w:rFonts w:ascii="Times New Roman" w:hAnsi="Times New Roman"/>
          <w:sz w:val="24"/>
          <w:szCs w:val="24"/>
          <w:highlight w:val="none"/>
        </w:rPr>
        <w:t xml:space="preserve">. 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>В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 ассоциации с ядрами двустворчатых моллюсков были обнаружены многочисленные трубки </w:t>
      </w:r>
      <w:r>
        <w:rPr>
          <w:rFonts w:ascii="Times New Roman" w:hAnsi="Times New Roman"/>
          <w:sz w:val="24"/>
          <w:szCs w:val="24"/>
          <w:highlight w:val="none"/>
        </w:rPr>
        <w:t>мелких полихет (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>Табл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. ++2, </w:t>
      </w:r>
      <w:r>
        <w:rPr>
          <w:rFonts w:ascii="Times New Roman" w:hAnsi="Times New Roman"/>
          <w:sz w:val="24"/>
          <w:szCs w:val="24"/>
          <w:highlight w:val="none"/>
        </w:rPr>
        <w:t>Рис. ++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1, 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H</w:t>
      </w:r>
      <w:r>
        <w:rPr>
          <w:rFonts w:ascii="Times New Roman" w:hAnsi="Times New Roman"/>
          <w:sz w:val="24"/>
          <w:szCs w:val="24"/>
          <w:highlight w:val="none"/>
        </w:rPr>
        <w:t>)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. По характеру расположения в грунте (плотные скопления трубок, «сплетения» трубок, идущих в толще грунта в разных направлениях), размерам и наличию характерной выстилки из мелких частиц внутри трубки («обои») эти ихнофоссилии очень напоминают рецентные плотные поселения </w:t>
      </w:r>
      <w:r>
        <w:rPr>
          <w:rFonts w:ascii="Times New Roman" w:hAnsi="Times New Roman"/>
          <w:i/>
          <w:iCs/>
          <w:sz w:val="24"/>
          <w:szCs w:val="24"/>
          <w:highlight w:val="none"/>
          <w:lang w:val="en-US"/>
        </w:rPr>
        <w:t>Dipolydora</w:t>
      </w:r>
      <w:r>
        <w:rPr>
          <w:rFonts w:ascii="Times New Roman" w:hAnsi="Times New Roman"/>
          <w:i/>
          <w:iCs/>
          <w:sz w:val="24"/>
          <w:szCs w:val="24"/>
          <w:highlight w:val="none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highlight w:val="none"/>
          <w:lang w:val="en-US"/>
        </w:rPr>
        <w:t>quadrilobata</w:t>
      </w:r>
      <w:r>
        <w:rPr>
          <w:rFonts w:ascii="Times New Roman" w:hAnsi="Times New Roman"/>
          <w:sz w:val="24"/>
          <w:szCs w:val="24"/>
          <w:highlight w:val="none"/>
        </w:rPr>
        <w:t>.</w:t>
      </w:r>
    </w:p>
    <w:p w14:paraId="461112CA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  <w:szCs w:val="24"/>
          <w:highlight w:val="none"/>
          <w:lang w:val="ru-RU"/>
        </w:rPr>
        <w:t>В</w:t>
      </w:r>
      <w:r>
        <w:rPr>
          <w:rFonts w:ascii="Times New Roman" w:hAnsi="Times New Roman"/>
          <w:sz w:val="24"/>
          <w:szCs w:val="24"/>
          <w:highlight w:val="none"/>
        </w:rPr>
        <w:t xml:space="preserve">ыше описанного слоя (50-60 см) располагается слой лишенный выраженных фоссилий.  </w:t>
      </w:r>
    </w:p>
    <w:p w14:paraId="1F4338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Самую верхнюю (наиболее молодую) часть разреза (30-50 см от поверхности) занимает слой с хорошо сохранившимися осколками раковин мидий, 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  <w:lang w:val="en-US"/>
        </w:rPr>
        <w:t>Mytilus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  <w:lang w:val="en-US"/>
        </w:rPr>
        <w:t>edulis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>(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Табл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. ++2, </w:t>
      </w:r>
      <w:r>
        <w:rPr>
          <w:rFonts w:ascii="Times New Roman" w:hAnsi="Times New Roman" w:cs="Times New Roman"/>
          <w:sz w:val="24"/>
          <w:szCs w:val="24"/>
          <w:highlight w:val="none"/>
        </w:rPr>
        <w:t>рис. ++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1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highlight w:val="none"/>
        </w:rPr>
        <w:t>). Такого рода отложения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Рис. +++1,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J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)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хорошо соотносятся с ракушечником, подстилающим рецентные мидиевые банки, представленные на нижней литорали Белого моря. Помимо створок мидий в этих слоях отмечены также осколки раковин 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  <w:lang w:val="en-US"/>
        </w:rPr>
        <w:t>Macoma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sp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 и 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  <w:lang w:val="en-US"/>
        </w:rPr>
        <w:t>Littorina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>sp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 </w:t>
      </w:r>
    </w:p>
    <w:p w14:paraId="403949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</w:p>
    <w:p w14:paraId="1675C3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</w:p>
    <w:p w14:paraId="25613B02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</w:p>
    <w:p w14:paraId="7BCC51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</w:p>
    <w:p w14:paraId="1E04FBE5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drawing>
          <wp:inline distT="0" distB="0" distL="114300" distR="114300">
            <wp:extent cx="5269865" cy="6683375"/>
            <wp:effectExtent l="0" t="0" r="3175" b="6985"/>
            <wp:docPr id="1" name="Изображение 1" descr="Fig_Photo_coll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Fig_Photo_coll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8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E9EB3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</w:p>
    <w:p w14:paraId="125FA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</w:p>
    <w:p w14:paraId="4565D39C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Рисунок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+++1. Эуфоссилии и ихнофоссилии, отмеченные на разрезе.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A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Трубки, наиболее вероятно принадлежащие полихетам </w:t>
      </w:r>
      <w:r>
        <w:rPr>
          <w:rFonts w:hint="default" w:ascii="Times New Roman" w:hAnsi="Times New Roman" w:cs="Times New Roman"/>
          <w:i/>
          <w:iCs/>
          <w:sz w:val="24"/>
          <w:szCs w:val="24"/>
          <w:highlight w:val="none"/>
          <w:lang w:val="en-US"/>
        </w:rPr>
        <w:t>Nicomache minor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, ассоциированные с камнями морены (слой 200-240 см).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B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Поперечное сечение трубок из того же слоя.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Крупные камни морены из слоя 240 см.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D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Трубки вероятно принадлежаще полихетам </w:t>
      </w:r>
      <w:r>
        <w:rPr>
          <w:rFonts w:hint="default" w:ascii="Times New Roman" w:hAnsi="Times New Roman" w:cs="Times New Roman"/>
          <w:i/>
          <w:iCs/>
          <w:sz w:val="24"/>
          <w:szCs w:val="24"/>
          <w:highlight w:val="none"/>
          <w:lang w:val="en-US"/>
        </w:rPr>
        <w:t>Galathowenia oculata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слой 110-160 см).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E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Те же трубки, внутренняя поверхность.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F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Отложения в слое 60-190 см с выраженными слоями ожелезнения.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G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Конхиалин раковины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Portlandia arctica (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слой 90-120 см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)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. 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lang w:val="en-US"/>
        </w:rPr>
        <w:t>H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Ядро двустворчатого моллюска, вероятно относящееся к </w:t>
      </w:r>
      <w:r>
        <w:rPr>
          <w:rFonts w:hint="default" w:ascii="Times New Roman" w:hAnsi="Times New Roman" w:cs="Times New Roman"/>
          <w:i/>
          <w:iCs/>
          <w:sz w:val="24"/>
          <w:szCs w:val="24"/>
          <w:highlight w:val="none"/>
          <w:lang w:val="en-US"/>
        </w:rPr>
        <w:t>Macoma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 sp. (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слой 60-100 см).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highlight w:val="none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Трубки, вероятно принадлежащие </w:t>
      </w:r>
      <w:r>
        <w:rPr>
          <w:rFonts w:hint="default" w:ascii="Times New Roman" w:hAnsi="Times New Roman"/>
          <w:i/>
          <w:iCs/>
          <w:sz w:val="24"/>
          <w:szCs w:val="24"/>
          <w:highlight w:val="none"/>
          <w:lang w:val="ru-RU"/>
        </w:rPr>
        <w:t xml:space="preserve">Dipolydora quadrilobata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(слой 60-100 см). </w:t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en-US"/>
        </w:rPr>
        <w:t>J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Осколки раковин </w:t>
      </w:r>
      <w:r>
        <w:rPr>
          <w:rFonts w:hint="default" w:ascii="Times New Roman" w:hAnsi="Times New Roman"/>
          <w:i/>
          <w:iCs/>
          <w:sz w:val="24"/>
          <w:szCs w:val="24"/>
          <w:highlight w:val="none"/>
          <w:lang w:val="en-US"/>
        </w:rPr>
        <w:t xml:space="preserve">Mytilus edulis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(слой 30-50 см). </w:t>
      </w:r>
      <w:r>
        <w:rPr>
          <w:rFonts w:hint="default" w:ascii="Times New Roman" w:hAnsi="Times New Roman"/>
          <w:b/>
          <w:bCs/>
          <w:sz w:val="24"/>
          <w:szCs w:val="24"/>
          <w:highlight w:val="none"/>
          <w:lang w:val="en-US"/>
        </w:rPr>
        <w:t>K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Мидевый ракушечник (слой 30-50).</w:t>
      </w:r>
    </w:p>
    <w:p w14:paraId="06CACBC1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</w:p>
    <w:p w14:paraId="5424C0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</w:p>
    <w:p w14:paraId="528EFE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>Таблица ++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  <w:highlight w:val="none"/>
        </w:rPr>
        <w:t>. Визуальное описание распределения фоссилий донных беспозвоночных.</w:t>
      </w:r>
    </w:p>
    <w:p w14:paraId="603CEA5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darkGreen"/>
        </w:rPr>
      </w:pPr>
    </w:p>
    <w:tbl>
      <w:tblPr>
        <w:tblStyle w:val="13"/>
        <w:tblW w:w="8639" w:type="dxa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4680"/>
        <w:gridCol w:w="2784"/>
      </w:tblGrid>
      <w:tr w14:paraId="1BF0E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1777221F">
            <w:pPr>
              <w:ind w:left="0" w:leftChars="0" w:firstLine="0" w:firstLineChars="0"/>
              <w:textAlignment w:val="center"/>
              <w:rPr>
                <w:rFonts w:ascii="Calibri" w:hAnsi="Calibri" w:cs="Calibri"/>
                <w:b/>
                <w:bCs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b/>
                <w:bCs/>
                <w:color w:val="auto"/>
                <w:sz w:val="20"/>
                <w:szCs w:val="20"/>
                <w:highlight w:val="none"/>
                <w:lang w:val="en-US" w:eastAsia="zh-CN" w:bidi="ar"/>
              </w:rPr>
              <w:t>Глубина</w:t>
            </w:r>
            <w:r>
              <w:rPr>
                <w:rFonts w:ascii="Calibri" w:hAnsi="Calibri" w:eastAsia="SimSun" w:cs="Calibri"/>
                <w:b/>
                <w:bCs/>
                <w:color w:val="auto"/>
                <w:sz w:val="20"/>
                <w:szCs w:val="20"/>
                <w:highlight w:val="none"/>
                <w:lang w:eastAsia="zh-CN" w:bidi="ar"/>
              </w:rPr>
              <w:t xml:space="preserve"> (см)</w:t>
            </w:r>
          </w:p>
        </w:tc>
        <w:tc>
          <w:tcPr>
            <w:tcW w:w="4680" w:type="dxa"/>
            <w:shd w:val="clear" w:color="auto" w:fill="auto"/>
            <w:noWrap/>
            <w:vAlign w:val="center"/>
          </w:tcPr>
          <w:p w14:paraId="4B21757D">
            <w:pPr>
              <w:ind w:left="0" w:leftChars="0" w:firstLine="0" w:firstLineChars="0"/>
              <w:textAlignment w:val="center"/>
              <w:rPr>
                <w:rFonts w:ascii="Calibri" w:hAnsi="Calibri" w:cs="Calibri"/>
                <w:b/>
                <w:bCs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b/>
                <w:bCs/>
                <w:color w:val="auto"/>
                <w:sz w:val="20"/>
                <w:szCs w:val="20"/>
                <w:highlight w:val="none"/>
                <w:lang w:val="en-US" w:eastAsia="zh-CN" w:bidi="ar"/>
              </w:rPr>
              <w:t>Визуальное описание</w:t>
            </w:r>
          </w:p>
        </w:tc>
        <w:tc>
          <w:tcPr>
            <w:tcW w:w="2784" w:type="dxa"/>
            <w:shd w:val="clear" w:color="auto" w:fill="auto"/>
            <w:noWrap/>
            <w:vAlign w:val="center"/>
          </w:tcPr>
          <w:p w14:paraId="16E7D916">
            <w:pPr>
              <w:ind w:left="0" w:leftChars="0" w:firstLine="0" w:firstLineChars="0"/>
              <w:textAlignment w:val="center"/>
              <w:rPr>
                <w:rFonts w:ascii="Calibri" w:hAnsi="Calibri" w:cs="Calibri"/>
                <w:b/>
                <w:bCs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b/>
                <w:bCs/>
                <w:color w:val="auto"/>
                <w:sz w:val="20"/>
                <w:szCs w:val="20"/>
                <w:highlight w:val="none"/>
                <w:lang w:val="en-US" w:eastAsia="zh-CN" w:bidi="ar"/>
              </w:rPr>
              <w:t>Виды, отмеченные в слое</w:t>
            </w:r>
          </w:p>
        </w:tc>
      </w:tr>
      <w:tr w14:paraId="57D7E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5D86D2BD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0</w:t>
            </w:r>
          </w:p>
        </w:tc>
        <w:tc>
          <w:tcPr>
            <w:tcW w:w="4680" w:type="dxa"/>
            <w:vMerge w:val="restart"/>
            <w:shd w:val="clear" w:color="auto" w:fill="auto"/>
            <w:noWrap/>
            <w:vAlign w:val="center"/>
          </w:tcPr>
          <w:p w14:paraId="4DF9074B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eastAsia="zh-CN" w:bidi="ar"/>
              </w:rPr>
              <w:t xml:space="preserve">Гравийно-галичный слой без </w:t>
            </w: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ru-RU" w:eastAsia="zh-CN" w:bidi="ar"/>
              </w:rPr>
              <w:t>макро</w:t>
            </w: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eastAsia="zh-CN" w:bidi="ar"/>
              </w:rPr>
              <w:t>фоссилий</w:t>
            </w:r>
          </w:p>
        </w:tc>
        <w:tc>
          <w:tcPr>
            <w:tcW w:w="2784" w:type="dxa"/>
            <w:vMerge w:val="restart"/>
            <w:shd w:val="clear" w:color="auto" w:fill="auto"/>
            <w:noWrap/>
            <w:vAlign w:val="center"/>
          </w:tcPr>
          <w:p w14:paraId="431DED51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Нет</w:t>
            </w:r>
          </w:p>
        </w:tc>
      </w:tr>
      <w:tr w14:paraId="21C4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648C3CE8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2FDC98C5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303DA31F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70139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3F2745CE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20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3FBD0822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5F372A10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29EDD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47B730B5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30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656DCA22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23D0C35A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5D17C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74B388EA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40</w:t>
            </w:r>
          </w:p>
        </w:tc>
        <w:tc>
          <w:tcPr>
            <w:tcW w:w="4680" w:type="dxa"/>
            <w:vMerge w:val="restart"/>
            <w:shd w:val="clear" w:color="auto" w:fill="auto"/>
            <w:noWrap/>
            <w:vAlign w:val="center"/>
          </w:tcPr>
          <w:p w14:paraId="1CFDD221">
            <w:pPr>
              <w:ind w:left="0" w:leftChars="0" w:firstLine="0" w:firstLineChars="0"/>
              <w:textAlignment w:val="center"/>
              <w:rPr>
                <w:rFonts w:hint="default" w:ascii="Calibri" w:hAnsi="Calibri" w:cs="Calibri"/>
                <w:color w:val="auto"/>
                <w:sz w:val="20"/>
                <w:szCs w:val="20"/>
                <w:highlight w:val="none"/>
                <w:lang w:val="ru-RU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Мидиев</w:t>
            </w: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ru-RU" w:eastAsia="zh-CN" w:bidi="ar"/>
              </w:rPr>
              <w:t>ая</w:t>
            </w:r>
            <w:r>
              <w:rPr>
                <w:rFonts w:hint="default" w:ascii="Calibri" w:hAnsi="Calibri" w:eastAsia="SimSun" w:cs="Calibri"/>
                <w:color w:val="auto"/>
                <w:sz w:val="20"/>
                <w:szCs w:val="20"/>
                <w:highlight w:val="none"/>
                <w:lang w:val="ru-RU" w:eastAsia="zh-CN" w:bidi="ar"/>
              </w:rPr>
              <w:t xml:space="preserve"> ракуша</w:t>
            </w:r>
          </w:p>
        </w:tc>
        <w:tc>
          <w:tcPr>
            <w:tcW w:w="2784" w:type="dxa"/>
            <w:vMerge w:val="restart"/>
            <w:shd w:val="clear" w:color="auto" w:fill="auto"/>
            <w:noWrap/>
            <w:vAlign w:val="center"/>
          </w:tcPr>
          <w:p w14:paraId="2A3190A4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  <w:lang w:val="en-US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Mytilus edulis; Macoma sp.; Littorina sp.</w:t>
            </w:r>
          </w:p>
        </w:tc>
      </w:tr>
      <w:tr w14:paraId="422BA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5913855D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50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5B061FB8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58097467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5F131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2C789F26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60</w:t>
            </w:r>
          </w:p>
        </w:tc>
        <w:tc>
          <w:tcPr>
            <w:tcW w:w="4680" w:type="dxa"/>
            <w:shd w:val="clear" w:color="auto" w:fill="auto"/>
            <w:noWrap/>
            <w:vAlign w:val="center"/>
          </w:tcPr>
          <w:p w14:paraId="41C47200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 xml:space="preserve">Серый слой без </w:t>
            </w: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ru-RU" w:eastAsia="zh-CN" w:bidi="ar"/>
              </w:rPr>
              <w:t>макро</w:t>
            </w: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фоссилий</w:t>
            </w:r>
          </w:p>
        </w:tc>
        <w:tc>
          <w:tcPr>
            <w:tcW w:w="2784" w:type="dxa"/>
            <w:shd w:val="clear" w:color="auto" w:fill="auto"/>
            <w:noWrap/>
            <w:vAlign w:val="center"/>
          </w:tcPr>
          <w:p w14:paraId="2AC2E09B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Нет</w:t>
            </w:r>
          </w:p>
        </w:tc>
      </w:tr>
      <w:tr w14:paraId="485AE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46388148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4680" w:type="dxa"/>
            <w:vMerge w:val="restart"/>
            <w:shd w:val="clear" w:color="auto" w:fill="auto"/>
            <w:noWrap/>
            <w:vAlign w:val="center"/>
          </w:tcPr>
          <w:p w14:paraId="2DE0B9E4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eastAsia="zh-CN" w:bidi="ar"/>
              </w:rPr>
              <w:t>Слои с повышенным содержанием железа, Отложения с трубками полихет и отдельными моллюсками</w:t>
            </w:r>
          </w:p>
        </w:tc>
        <w:tc>
          <w:tcPr>
            <w:tcW w:w="2784" w:type="dxa"/>
            <w:vMerge w:val="restart"/>
            <w:shd w:val="clear" w:color="auto" w:fill="auto"/>
            <w:noWrap/>
            <w:vAlign w:val="center"/>
          </w:tcPr>
          <w:p w14:paraId="4F5709D0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Dipolydora quadrilobata; Macoma sp.</w:t>
            </w:r>
          </w:p>
        </w:tc>
      </w:tr>
      <w:tr w14:paraId="166DC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3E198FC3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80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7FE0613A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152218B2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35C9C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0D600EA1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90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290AC910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26B2C020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1D20A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407104FF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100</w:t>
            </w:r>
          </w:p>
        </w:tc>
        <w:tc>
          <w:tcPr>
            <w:tcW w:w="4680" w:type="dxa"/>
            <w:vMerge w:val="restart"/>
            <w:shd w:val="clear" w:color="auto" w:fill="auto"/>
            <w:noWrap/>
            <w:vAlign w:val="center"/>
          </w:tcPr>
          <w:p w14:paraId="60BE567B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eastAsia="zh-CN" w:bidi="ar"/>
              </w:rPr>
              <w:t>Слои с повышенным содержанием железа, Отложения с многочисленным трубками полихет и многочисленными периостракумами моллюсков</w:t>
            </w:r>
          </w:p>
        </w:tc>
        <w:tc>
          <w:tcPr>
            <w:tcW w:w="2784" w:type="dxa"/>
            <w:vMerge w:val="restart"/>
            <w:shd w:val="clear" w:color="auto" w:fill="auto"/>
            <w:noWrap/>
            <w:vAlign w:val="center"/>
          </w:tcPr>
          <w:p w14:paraId="75E89301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Galathowenia oculata; Portlandia arctica</w:t>
            </w:r>
          </w:p>
        </w:tc>
      </w:tr>
      <w:tr w14:paraId="2A131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09894C5A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110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406B9462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4FF52248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57936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458C6595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120</w:t>
            </w:r>
          </w:p>
        </w:tc>
        <w:tc>
          <w:tcPr>
            <w:tcW w:w="4680" w:type="dxa"/>
            <w:vMerge w:val="restart"/>
            <w:shd w:val="clear" w:color="auto" w:fill="auto"/>
            <w:noWrap/>
            <w:vAlign w:val="center"/>
          </w:tcPr>
          <w:p w14:paraId="5197C04B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eastAsia="zh-CN" w:bidi="ar"/>
              </w:rPr>
              <w:t>Слои с повышенным содержанием железа, Отложения с многочисленными трубками полихет; редкие периостракумы моллюсков</w:t>
            </w: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67DFE688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1B9B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77EB896C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130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36F860A0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42084915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1E1A0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0368CA23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140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77CAD3D1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04F23E1D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1AE45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7043967E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0A66BB2F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46C0FE1A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4B816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23A3FD10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160</w:t>
            </w:r>
          </w:p>
        </w:tc>
        <w:tc>
          <w:tcPr>
            <w:tcW w:w="4680" w:type="dxa"/>
            <w:vMerge w:val="restart"/>
            <w:shd w:val="clear" w:color="auto" w:fill="auto"/>
            <w:noWrap/>
            <w:vAlign w:val="center"/>
          </w:tcPr>
          <w:p w14:paraId="547ADE5A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eastAsia="zh-CN" w:bidi="ar"/>
              </w:rPr>
              <w:t xml:space="preserve">Слои с повышенным содержанием железа, Отложения с </w:t>
            </w: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ru-RU" w:eastAsia="zh-CN" w:bidi="ar"/>
              </w:rPr>
              <w:t>отдельными</w:t>
            </w:r>
            <w:r>
              <w:rPr>
                <w:rFonts w:hint="default" w:ascii="Calibri" w:hAnsi="Calibri" w:eastAsia="SimSun" w:cs="Calibri"/>
                <w:color w:val="auto"/>
                <w:sz w:val="20"/>
                <w:szCs w:val="20"/>
                <w:highlight w:val="none"/>
                <w:lang w:val="ru-RU" w:eastAsia="zh-CN" w:bidi="ar"/>
              </w:rPr>
              <w:t xml:space="preserve"> </w:t>
            </w: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eastAsia="zh-CN" w:bidi="ar"/>
              </w:rPr>
              <w:t>трубками полихет и отдельными моллюсками</w:t>
            </w: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5C5859F1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5AC54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4B1A7198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170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5388A7E4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18415E81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3EAB3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56FEC1A3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180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7489D260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35620499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6FFC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6DA4E525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190</w:t>
            </w:r>
          </w:p>
        </w:tc>
        <w:tc>
          <w:tcPr>
            <w:tcW w:w="4680" w:type="dxa"/>
            <w:vMerge w:val="restart"/>
            <w:shd w:val="clear" w:color="auto" w:fill="auto"/>
            <w:noWrap/>
            <w:vAlign w:val="center"/>
          </w:tcPr>
          <w:p w14:paraId="55FD760D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 xml:space="preserve">Серый слой без </w:t>
            </w: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ru-RU" w:eastAsia="zh-CN" w:bidi="ar"/>
              </w:rPr>
              <w:t>макро</w:t>
            </w: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фоссилий</w:t>
            </w:r>
          </w:p>
        </w:tc>
        <w:tc>
          <w:tcPr>
            <w:tcW w:w="2784" w:type="dxa"/>
            <w:vMerge w:val="restart"/>
            <w:shd w:val="clear" w:color="auto" w:fill="auto"/>
            <w:noWrap/>
            <w:vAlign w:val="center"/>
          </w:tcPr>
          <w:p w14:paraId="637F05CE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Нет</w:t>
            </w:r>
          </w:p>
        </w:tc>
      </w:tr>
      <w:tr w14:paraId="1B3CF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509BD046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200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6DA8DAB2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3A697DB5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690ED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1C376A22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210</w:t>
            </w:r>
          </w:p>
        </w:tc>
        <w:tc>
          <w:tcPr>
            <w:tcW w:w="4680" w:type="dxa"/>
            <w:vMerge w:val="restart"/>
            <w:shd w:val="clear" w:color="auto" w:fill="auto"/>
            <w:noWrap/>
            <w:vAlign w:val="center"/>
          </w:tcPr>
          <w:p w14:paraId="0411D5BC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eastAsia="zh-CN" w:bidi="ar"/>
              </w:rPr>
              <w:t>Слой мелких окатанных камней с богатым ожелезнением и трубками полихет</w:t>
            </w:r>
          </w:p>
        </w:tc>
        <w:tc>
          <w:tcPr>
            <w:tcW w:w="2784" w:type="dxa"/>
            <w:vMerge w:val="restart"/>
            <w:shd w:val="clear" w:color="auto" w:fill="auto"/>
            <w:noWrap/>
            <w:vAlign w:val="center"/>
          </w:tcPr>
          <w:p w14:paraId="2F1798B9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Nicomache minor</w:t>
            </w:r>
          </w:p>
        </w:tc>
      </w:tr>
      <w:tr w14:paraId="6B7C6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35C813C7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220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1307DA3D">
            <w:pPr>
              <w:ind w:left="0" w:leftChars="0" w:firstLine="0" w:firstLineChars="0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2FDA3631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1B9C2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765B171A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230</w:t>
            </w:r>
          </w:p>
        </w:tc>
        <w:tc>
          <w:tcPr>
            <w:tcW w:w="4680" w:type="dxa"/>
            <w:vMerge w:val="continue"/>
            <w:shd w:val="clear" w:color="auto" w:fill="auto"/>
            <w:noWrap/>
            <w:vAlign w:val="center"/>
          </w:tcPr>
          <w:p w14:paraId="44805BA6">
            <w:pPr>
              <w:ind w:left="0" w:leftChars="0" w:firstLine="0" w:firstLineChars="0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746FBAA2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  <w:tr w14:paraId="6AA09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175" w:type="dxa"/>
            <w:shd w:val="clear" w:color="auto" w:fill="auto"/>
            <w:noWrap/>
            <w:vAlign w:val="center"/>
          </w:tcPr>
          <w:p w14:paraId="1A08A69D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240</w:t>
            </w:r>
          </w:p>
        </w:tc>
        <w:tc>
          <w:tcPr>
            <w:tcW w:w="4680" w:type="dxa"/>
            <w:shd w:val="clear" w:color="auto" w:fill="auto"/>
            <w:noWrap/>
            <w:vAlign w:val="center"/>
          </w:tcPr>
          <w:p w14:paraId="47465BCA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  <w:r>
              <w:rPr>
                <w:rFonts w:ascii="Calibri" w:hAnsi="Calibri" w:eastAsia="SimSun" w:cs="Calibri"/>
                <w:color w:val="auto"/>
                <w:sz w:val="20"/>
                <w:szCs w:val="20"/>
                <w:highlight w:val="none"/>
                <w:lang w:val="en-US" w:eastAsia="zh-CN" w:bidi="ar"/>
              </w:rPr>
              <w:t>Морена</w:t>
            </w:r>
          </w:p>
        </w:tc>
        <w:tc>
          <w:tcPr>
            <w:tcW w:w="2784" w:type="dxa"/>
            <w:vMerge w:val="continue"/>
            <w:shd w:val="clear" w:color="auto" w:fill="auto"/>
            <w:noWrap/>
            <w:vAlign w:val="center"/>
          </w:tcPr>
          <w:p w14:paraId="775EB2D6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auto"/>
                <w:sz w:val="20"/>
                <w:szCs w:val="20"/>
                <w:highlight w:val="none"/>
              </w:rPr>
            </w:pPr>
          </w:p>
        </w:tc>
      </w:tr>
    </w:tbl>
    <w:p w14:paraId="1BA2A9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darkGreen"/>
        </w:rPr>
      </w:pPr>
    </w:p>
    <w:p w14:paraId="3BEAB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darkGreen"/>
        </w:rPr>
      </w:pPr>
    </w:p>
    <w:p w14:paraId="72F828A5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  <w:highlight w:val="darkGreen"/>
        </w:rPr>
      </w:pPr>
    </w:p>
    <w:p w14:paraId="6CE378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darkGreen"/>
        </w:rPr>
      </w:pPr>
    </w:p>
    <w:p w14:paraId="07B75D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darkGreen"/>
        </w:rPr>
      </w:pPr>
    </w:p>
    <w:p w14:paraId="6C01E6A1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  <w:t>Таблица +++ 2. Описание массовых форм фоссилий и ихнофоссилий, обнаруженных на разрезе.</w:t>
      </w:r>
    </w:p>
    <w:p w14:paraId="7BB7C02D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</w:pPr>
    </w:p>
    <w:tbl>
      <w:tblPr>
        <w:tblStyle w:val="118"/>
        <w:tblW w:w="9668" w:type="dxa"/>
        <w:tblInd w:w="-9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7"/>
        <w:gridCol w:w="2911"/>
        <w:gridCol w:w="3000"/>
      </w:tblGrid>
      <w:tr w14:paraId="52F27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</w:tcPr>
          <w:p w14:paraId="296FF52B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Описание фоссилий</w:t>
            </w:r>
          </w:p>
        </w:tc>
        <w:tc>
          <w:tcPr>
            <w:tcW w:w="2911" w:type="dxa"/>
            <w:shd w:val="clear" w:color="auto" w:fill="auto"/>
            <w:vAlign w:val="top"/>
          </w:tcPr>
          <w:p w14:paraId="06814E41">
            <w:pPr>
              <w:widowControl w:val="0"/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sz w:val="24"/>
                <w:vertAlign w:val="baseline"/>
                <w:lang w:val="ru-RU" w:eastAsia="zh-CN" w:bidi="ar-SA"/>
              </w:rPr>
            </w:pPr>
            <w:r>
              <w:rPr>
                <w:vertAlign w:val="baseline"/>
                <w:lang w:val="ru-RU"/>
              </w:rPr>
              <w:t>Наиболее</w:t>
            </w:r>
            <w:r>
              <w:rPr>
                <w:rFonts w:hint="default"/>
                <w:vertAlign w:val="baseline"/>
                <w:lang w:val="ru-RU"/>
              </w:rPr>
              <w:t xml:space="preserve"> вероятный </w:t>
            </w:r>
            <w:r>
              <w:rPr>
                <w:vertAlign w:val="baseline"/>
                <w:lang w:val="ru-RU"/>
              </w:rPr>
              <w:t>вид</w:t>
            </w:r>
          </w:p>
        </w:tc>
        <w:tc>
          <w:tcPr>
            <w:tcW w:w="3000" w:type="dxa"/>
          </w:tcPr>
          <w:p w14:paraId="60ED2879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Источники</w:t>
            </w:r>
            <w:r>
              <w:rPr>
                <w:rFonts w:hint="default"/>
                <w:vertAlign w:val="baseline"/>
                <w:lang w:val="ru-RU"/>
              </w:rPr>
              <w:t xml:space="preserve"> с описанием рецентных форм.</w:t>
            </w:r>
          </w:p>
        </w:tc>
      </w:tr>
      <w:tr w14:paraId="7EBE3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</w:tcPr>
          <w:p w14:paraId="4D1BEF18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Плотные трубки, состоящие из сцементированных песчинок, с ожелезнением. Внутренняя полость трубки свободна от осадка. Трубки плотно прилегают к   поверхности камней. Присутсвуют также трубки не связанные с камнями.</w:t>
            </w:r>
          </w:p>
        </w:tc>
        <w:tc>
          <w:tcPr>
            <w:tcW w:w="2911" w:type="dxa"/>
            <w:shd w:val="clear" w:color="auto" w:fill="auto"/>
            <w:vAlign w:val="top"/>
          </w:tcPr>
          <w:p w14:paraId="64FA9461">
            <w:pPr>
              <w:widowControl w:val="0"/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i/>
                <w:iCs/>
                <w:sz w:val="24"/>
                <w:vertAlign w:val="baseline"/>
                <w:lang w:val="ru-RU" w:eastAsia="zh-CN" w:bidi="ar-SA"/>
              </w:rPr>
            </w:pPr>
            <w:r>
              <w:rPr>
                <w:rFonts w:hint="default"/>
                <w:i/>
                <w:iCs/>
                <w:vertAlign w:val="baseline"/>
                <w:lang w:val="en-US"/>
              </w:rPr>
              <w:t>Nicomache minor</w:t>
            </w:r>
            <w:r>
              <w:rPr>
                <w:rFonts w:hint="default"/>
                <w:i/>
                <w:iCs/>
                <w:vertAlign w:val="baseline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none"/>
                <w:lang w:val="en-US"/>
              </w:rPr>
              <w:t>Arwidsson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  <w:t xml:space="preserve">, 1906 </w:t>
            </w:r>
          </w:p>
        </w:tc>
        <w:tc>
          <w:tcPr>
            <w:tcW w:w="3000" w:type="dxa"/>
          </w:tcPr>
          <w:p w14:paraId="71D55345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Описание трубок:</w:t>
            </w:r>
          </w:p>
          <w:p w14:paraId="55864336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commentRangeStart w:id="3"/>
            <w:r>
              <w:rPr>
                <w:rFonts w:hint="default"/>
                <w:vertAlign w:val="baseline"/>
                <w:lang w:val="ru-RU"/>
              </w:rPr>
              <w:t>Shcherbakova</w:t>
            </w:r>
            <w:r>
              <w:rPr>
                <w:rFonts w:hint="default"/>
                <w:vertAlign w:val="baseline"/>
                <w:lang w:val="en-US"/>
              </w:rPr>
              <w:t xml:space="preserve"> et al., 2017</w:t>
            </w:r>
            <w:r>
              <w:rPr>
                <w:rFonts w:hint="default"/>
                <w:vertAlign w:val="baseline"/>
                <w:lang w:val="ru-RU"/>
              </w:rPr>
              <w:t>;</w:t>
            </w:r>
            <w:commentRangeEnd w:id="3"/>
            <w:r>
              <w:commentReference w:id="3"/>
            </w:r>
          </w:p>
          <w:p w14:paraId="53071DB0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commentRangeStart w:id="4"/>
            <w:r>
              <w:rPr>
                <w:rFonts w:hint="default"/>
                <w:vertAlign w:val="baseline"/>
                <w:lang w:val="ru-RU"/>
              </w:rPr>
              <w:t>Флора и фауна Белого моря: иллюстрированный атлас (2010)</w:t>
            </w:r>
            <w:commentRangeEnd w:id="4"/>
            <w:r>
              <w:commentReference w:id="4"/>
            </w:r>
          </w:p>
        </w:tc>
      </w:tr>
      <w:tr w14:paraId="411E2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</w:tcPr>
          <w:p w14:paraId="53F481E3">
            <w:pPr>
              <w:widowControl w:val="0"/>
              <w:ind w:left="0" w:leftChars="0" w:firstLine="0" w:firstLineChars="0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ru-RU"/>
              </w:rPr>
              <w:t>Д</w:t>
            </w:r>
            <w:r>
              <w:rPr>
                <w:rFonts w:hint="default"/>
                <w:vertAlign w:val="baseline"/>
              </w:rPr>
              <w:t>линн</w:t>
            </w:r>
            <w:r>
              <w:rPr>
                <w:rFonts w:hint="default"/>
                <w:vertAlign w:val="baseline"/>
                <w:lang w:val="ru-RU"/>
              </w:rPr>
              <w:t>ые</w:t>
            </w:r>
            <w:r>
              <w:rPr>
                <w:rFonts w:hint="default"/>
                <w:vertAlign w:val="baseline"/>
              </w:rPr>
              <w:t>, тонк</w:t>
            </w:r>
            <w:r>
              <w:rPr>
                <w:rFonts w:hint="default"/>
                <w:vertAlign w:val="baseline"/>
                <w:lang w:val="ru-RU"/>
              </w:rPr>
              <w:t xml:space="preserve">ие трубки, располагающиеся обычно вертикально в толще осадка. Стенка трубки состоит из прочно сцементированных частиц грунта, преимущественно ориентированных в плоскости перпендикулярной оси трубки. Частицы </w:t>
            </w:r>
            <w:r>
              <w:rPr>
                <w:rFonts w:hint="default"/>
                <w:vertAlign w:val="baseline"/>
              </w:rPr>
              <w:t>образуют характерный поперечный рисунок из чередующихся светлых и темных полос.</w:t>
            </w:r>
          </w:p>
        </w:tc>
        <w:tc>
          <w:tcPr>
            <w:tcW w:w="2911" w:type="dxa"/>
            <w:shd w:val="clear" w:color="auto" w:fill="auto"/>
            <w:vAlign w:val="top"/>
          </w:tcPr>
          <w:p w14:paraId="0D889429">
            <w:pPr>
              <w:widowControl w:val="0"/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sz w:val="24"/>
                <w:vertAlign w:val="baseline"/>
                <w:lang w:val="ru-RU" w:eastAsia="zh-CN" w:bidi="ar-SA"/>
              </w:rPr>
            </w:pPr>
            <w:r>
              <w:rPr>
                <w:rFonts w:hint="default"/>
                <w:i/>
                <w:iCs/>
                <w:vertAlign w:val="baseline"/>
              </w:rPr>
              <w:t>Galathowenia oculata</w:t>
            </w:r>
            <w:r>
              <w:rPr>
                <w:rFonts w:hint="default"/>
                <w:i/>
                <w:iCs/>
                <w:vertAlign w:val="baseline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highlight w:val="none"/>
                <w:lang w:val="en-US"/>
              </w:rPr>
              <w:t>Zachs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  <w:t>, 1923)</w:t>
            </w:r>
          </w:p>
        </w:tc>
        <w:tc>
          <w:tcPr>
            <w:tcW w:w="3000" w:type="dxa"/>
          </w:tcPr>
          <w:p w14:paraId="0D7EC678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Описание трубки:</w:t>
            </w:r>
          </w:p>
          <w:p w14:paraId="30318006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</w:rPr>
            </w:pPr>
            <w:commentRangeStart w:id="5"/>
            <w:r>
              <w:rPr>
                <w:rFonts w:hint="default"/>
                <w:vertAlign w:val="baseline"/>
              </w:rPr>
              <w:fldChar w:fldCharType="begin"/>
            </w:r>
            <w:r>
              <w:rPr>
                <w:rFonts w:hint="default"/>
                <w:vertAlign w:val="baseline"/>
              </w:rPr>
              <w:instrText xml:space="preserve"> HYPERLINK "https://www.iopan.gda.pl/projects/Polychaeta/list/GalOcu.html" </w:instrText>
            </w:r>
            <w:r>
              <w:rPr>
                <w:rFonts w:hint="default"/>
                <w:vertAlign w:val="baseline"/>
              </w:rPr>
              <w:fldChar w:fldCharType="separate"/>
            </w:r>
            <w:r>
              <w:rPr>
                <w:rStyle w:val="21"/>
                <w:rFonts w:hint="default"/>
                <w:vertAlign w:val="baseline"/>
              </w:rPr>
              <w:t>https://www.iopan.gda.pl/projects/Polychaeta/list/GalOcu.html</w:t>
            </w:r>
            <w:r>
              <w:rPr>
                <w:rFonts w:hint="default"/>
                <w:vertAlign w:val="baseline"/>
              </w:rPr>
              <w:fldChar w:fldCharType="end"/>
            </w:r>
            <w:commentRangeEnd w:id="5"/>
            <w:r>
              <w:commentReference w:id="5"/>
            </w:r>
          </w:p>
          <w:p w14:paraId="3D885691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</w:rPr>
            </w:pPr>
          </w:p>
          <w:p w14:paraId="1842D0A6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Фотография трубки: Флора и фауна Белого моря: иллюстрированный атлас (2010)</w:t>
            </w:r>
          </w:p>
        </w:tc>
      </w:tr>
      <w:tr w14:paraId="2474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</w:tcPr>
          <w:p w14:paraId="577611D7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Конхиалиновые выстилки раковин, выделяющиеся на фоне светлого осадка в виде более темных пятен, фактически отпечатки. Отделить конхиалин от осадка не удается, но след от раковины,   схраняет характерную  видоспецифическую форму.   </w:t>
            </w:r>
          </w:p>
        </w:tc>
        <w:tc>
          <w:tcPr>
            <w:tcW w:w="2911" w:type="dxa"/>
            <w:shd w:val="clear" w:color="auto" w:fill="auto"/>
            <w:vAlign w:val="top"/>
          </w:tcPr>
          <w:p w14:paraId="25C25FBC">
            <w:pPr>
              <w:widowControl w:val="0"/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i/>
                <w:iCs/>
                <w:sz w:val="24"/>
                <w:vertAlign w:val="baseline"/>
                <w:lang w:val="ru-RU" w:eastAsia="zh-CN" w:bidi="ar-SA"/>
              </w:rPr>
            </w:pPr>
            <w:r>
              <w:rPr>
                <w:rFonts w:hint="default"/>
                <w:i/>
                <w:iCs/>
                <w:vertAlign w:val="baseline"/>
                <w:lang w:val="en-US"/>
              </w:rPr>
              <w:t>Portlandia arctica</w:t>
            </w:r>
            <w:r>
              <w:rPr>
                <w:rFonts w:hint="default"/>
                <w:i/>
                <w:iCs/>
                <w:vertAlign w:val="baseline"/>
                <w:lang w:val="ru-RU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highlight w:val="none"/>
                <w:lang w:val="en-US"/>
              </w:rPr>
              <w:t>J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  <w:highlight w:val="none"/>
                <w:lang w:val="en-US"/>
              </w:rPr>
              <w:t>E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  <w:highlight w:val="none"/>
                <w:lang w:val="en-US"/>
              </w:rPr>
              <w:t>Gray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  <w:t>, 1824)</w:t>
            </w:r>
          </w:p>
        </w:tc>
        <w:tc>
          <w:tcPr>
            <w:tcW w:w="3000" w:type="dxa"/>
          </w:tcPr>
          <w:p w14:paraId="41590B97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commentRangeStart w:id="6"/>
            <w:r>
              <w:rPr>
                <w:vertAlign w:val="baseline"/>
                <w:lang w:val="ru-RU"/>
              </w:rPr>
              <w:t>Наумов</w:t>
            </w:r>
            <w:r>
              <w:rPr>
                <w:rFonts w:hint="default"/>
                <w:vertAlign w:val="baseline"/>
                <w:lang w:val="ru-RU"/>
              </w:rPr>
              <w:t xml:space="preserve">, </w:t>
            </w:r>
            <w:r>
              <w:rPr>
                <w:rFonts w:hint="default"/>
                <w:vertAlign w:val="baseline"/>
                <w:lang w:val="en-US"/>
              </w:rPr>
              <w:t>2006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  <w:commentRangeEnd w:id="6"/>
            <w:r>
              <w:commentReference w:id="6"/>
            </w:r>
          </w:p>
        </w:tc>
      </w:tr>
      <w:tr w14:paraId="781CD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</w:tcPr>
          <w:p w14:paraId="3BD0E0DD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Округлые ядра более плотно сцепленных частиц грунта, выявляющиеся при разломе окружающего осадка.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 xml:space="preserve">При расчистке отложений ядро сохраняет округлую форму, однако кальцинированных остатков раковины не выявляется. Единственная находка осколка раковины была сделана в слое с останками мидий. По форме ядра наиболее вероятным видом, к которому можно отнести эти фоссилии является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Macoma balthica</w:t>
            </w:r>
            <w:r>
              <w:rPr>
                <w:rFonts w:hint="default"/>
                <w:vertAlign w:val="baseline"/>
                <w:lang w:val="ru-RU"/>
              </w:rPr>
              <w:t xml:space="preserve">, однако надежно отличить их от мелких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M.calcarea</w:t>
            </w:r>
            <w:r>
              <w:rPr>
                <w:rFonts w:hint="default"/>
                <w:vertAlign w:val="baseline"/>
                <w:lang w:val="ru-RU"/>
              </w:rPr>
              <w:t xml:space="preserve"> на имеющемся материале невозможно. 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  <w:tc>
          <w:tcPr>
            <w:tcW w:w="2911" w:type="dxa"/>
            <w:shd w:val="clear" w:color="auto" w:fill="auto"/>
            <w:vAlign w:val="top"/>
          </w:tcPr>
          <w:p w14:paraId="632756DC">
            <w:pPr>
              <w:widowControl w:val="0"/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sz w:val="24"/>
                <w:vertAlign w:val="baseline"/>
                <w:lang w:val="ru-RU" w:eastAsia="zh-CN" w:bidi="ar-SA"/>
              </w:rPr>
            </w:pPr>
            <w:r>
              <w:rPr>
                <w:rFonts w:hint="default"/>
                <w:i/>
                <w:iCs/>
                <w:vertAlign w:val="baseline"/>
                <w:lang w:val="en-US"/>
              </w:rPr>
              <w:t xml:space="preserve">Macoma </w:t>
            </w:r>
            <w:r>
              <w:rPr>
                <w:rFonts w:hint="default"/>
                <w:vertAlign w:val="baseline"/>
                <w:lang w:val="en-US"/>
              </w:rPr>
              <w:t>sp.</w:t>
            </w:r>
          </w:p>
        </w:tc>
        <w:tc>
          <w:tcPr>
            <w:tcW w:w="3000" w:type="dxa"/>
          </w:tcPr>
          <w:p w14:paraId="345CC0B9">
            <w:pPr>
              <w:widowControl w:val="0"/>
              <w:ind w:left="0" w:leftChars="0" w:firstLine="0" w:firstLineChars="0"/>
              <w:rPr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Наумов</w:t>
            </w:r>
            <w:r>
              <w:rPr>
                <w:rFonts w:hint="default"/>
                <w:vertAlign w:val="baseline"/>
                <w:lang w:val="ru-RU"/>
              </w:rPr>
              <w:t xml:space="preserve">, </w:t>
            </w:r>
            <w:r>
              <w:rPr>
                <w:rFonts w:hint="default"/>
                <w:vertAlign w:val="baseline"/>
                <w:lang w:val="en-US"/>
              </w:rPr>
              <w:t>2006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</w:tr>
      <w:tr w14:paraId="7C350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</w:tcPr>
          <w:p w14:paraId="500E7BAA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Многочисленные трубки, состоящие из мелких частиц, отличающихся от по своему размеру от частиц окружающего грунта. В трубках заметна выстилка из более мелких частиц. Сплетающиеся трубки залегают в толще осадка располагаясь в разных направлениях относительно вертикальной оси разреза. </w:t>
            </w:r>
          </w:p>
        </w:tc>
        <w:tc>
          <w:tcPr>
            <w:tcW w:w="2911" w:type="dxa"/>
            <w:shd w:val="clear" w:color="auto" w:fill="auto"/>
            <w:vAlign w:val="top"/>
          </w:tcPr>
          <w:p w14:paraId="659256B7">
            <w:pPr>
              <w:widowControl w:val="0"/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ru-RU"/>
              </w:rPr>
            </w:pPr>
            <w:r>
              <w:rPr>
                <w:rFonts w:hint="default"/>
                <w:i/>
                <w:iCs/>
                <w:vertAlign w:val="baseline"/>
                <w:lang w:val="en-US"/>
              </w:rPr>
              <w:t>Dipolydora quadrilobata</w:t>
            </w:r>
            <w:r>
              <w:rPr>
                <w:rFonts w:hint="default"/>
                <w:i/>
                <w:iCs/>
                <w:vertAlign w:val="baseline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highlight w:val="none"/>
                <w:lang w:val="en-US"/>
              </w:rPr>
              <w:t>Jacobi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  <w:t>, 1883)</w:t>
            </w:r>
          </w:p>
          <w:p w14:paraId="781A68F5">
            <w:pPr>
              <w:widowControl w:val="0"/>
              <w:ind w:left="0" w:leftChars="0" w:firstLine="0" w:firstLineChars="0"/>
              <w:rPr>
                <w:rFonts w:hint="default"/>
                <w:i/>
                <w:iCs/>
                <w:vertAlign w:val="baseline"/>
                <w:lang w:val="en-US"/>
              </w:rPr>
            </w:pPr>
          </w:p>
          <w:p w14:paraId="7FA826B1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 w:eastAsia="zh-CN"/>
              </w:rPr>
            </w:pPr>
            <w:r>
              <w:rPr>
                <w:rFonts w:hint="default"/>
                <w:vertAlign w:val="baseline"/>
                <w:lang w:val="ru-RU"/>
              </w:rPr>
              <w:t>Возможно присутствие в отложениях также и других сходных видов полихет-трубкостроителей</w:t>
            </w:r>
            <w:r>
              <w:rPr>
                <w:rFonts w:hint="default"/>
                <w:vertAlign w:val="baseline"/>
                <w:lang w:val="en-US"/>
              </w:rPr>
              <w:t xml:space="preserve"> (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Pygospio elegans</w:t>
            </w:r>
            <w:r>
              <w:rPr>
                <w:rFonts w:hint="default"/>
                <w:vertAlign w:val="baseline"/>
                <w:lang w:val="en-US"/>
              </w:rPr>
              <w:t xml:space="preserve">,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Fabricia sabella</w:t>
            </w:r>
            <w:r>
              <w:rPr>
                <w:rFonts w:hint="default"/>
                <w:vertAlign w:val="baseline"/>
                <w:lang w:val="en-US"/>
              </w:rPr>
              <w:t>)</w:t>
            </w:r>
            <w:r>
              <w:rPr>
                <w:rFonts w:hint="default"/>
                <w:vertAlign w:val="baseline"/>
                <w:lang w:val="ru-RU"/>
              </w:rPr>
              <w:t xml:space="preserve">, обитающих сшместно с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D.quadrilobata</w:t>
            </w:r>
            <w:r>
              <w:rPr>
                <w:rFonts w:hint="default"/>
                <w:vertAlign w:val="baseline"/>
                <w:lang w:val="ru-RU"/>
              </w:rPr>
              <w:t>, однако строящие более тонкостенные, хрупкие трубки.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vertAlign w:val="baseline"/>
                <w:lang w:val="ru-RU"/>
              </w:rPr>
              <w:t xml:space="preserve">  </w:t>
            </w:r>
          </w:p>
        </w:tc>
        <w:tc>
          <w:tcPr>
            <w:tcW w:w="3000" w:type="dxa"/>
          </w:tcPr>
          <w:p w14:paraId="1FBD37A2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Форма трубок: </w:t>
            </w:r>
          </w:p>
          <w:p w14:paraId="024161B3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commentRangeStart w:id="7"/>
            <w:r>
              <w:rPr>
                <w:rFonts w:hint="default"/>
                <w:vertAlign w:val="baseline"/>
                <w:lang w:val="en-US"/>
              </w:rPr>
              <w:t>Hempel, 1957</w:t>
            </w:r>
            <w:commentRangeEnd w:id="7"/>
            <w:r>
              <w:commentReference w:id="7"/>
            </w:r>
          </w:p>
        </w:tc>
      </w:tr>
      <w:tr w14:paraId="58F5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</w:tcPr>
          <w:p w14:paraId="71A8B976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Небольшой осколок раковины  обнаружен в отложениях мидиевой банки. Небольшой размер осколка не позволяет надежно отнести находку ни к одному из беломорских представителей рода 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Littorina</w:t>
            </w:r>
            <w:r>
              <w:rPr>
                <w:rFonts w:hint="default"/>
                <w:vertAlign w:val="baseline"/>
                <w:lang w:val="ru-RU"/>
              </w:rPr>
              <w:t xml:space="preserve">. </w:t>
            </w:r>
          </w:p>
        </w:tc>
        <w:tc>
          <w:tcPr>
            <w:tcW w:w="2911" w:type="dxa"/>
            <w:shd w:val="clear" w:color="auto" w:fill="auto"/>
            <w:vAlign w:val="top"/>
          </w:tcPr>
          <w:p w14:paraId="1C441017">
            <w:pPr>
              <w:widowControl w:val="0"/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sz w:val="24"/>
                <w:vertAlign w:val="baseline"/>
                <w:lang w:val="ru-RU" w:eastAsia="zh-CN" w:bidi="ar-SA"/>
              </w:rPr>
            </w:pPr>
            <w:r>
              <w:rPr>
                <w:rFonts w:hint="default"/>
                <w:i/>
                <w:iCs/>
                <w:vertAlign w:val="baseline"/>
                <w:lang w:val="en-US"/>
              </w:rPr>
              <w:t xml:space="preserve">Littorina </w:t>
            </w:r>
            <w:r>
              <w:rPr>
                <w:rFonts w:hint="default"/>
                <w:vertAlign w:val="baseline"/>
                <w:lang w:val="en-US"/>
              </w:rPr>
              <w:t>sp.</w:t>
            </w:r>
          </w:p>
        </w:tc>
        <w:tc>
          <w:tcPr>
            <w:tcW w:w="3000" w:type="dxa"/>
          </w:tcPr>
          <w:p w14:paraId="79ED32D9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Раковины литторин:</w:t>
            </w:r>
          </w:p>
          <w:p w14:paraId="0917B397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commentRangeStart w:id="8"/>
            <w:r>
              <w:rPr>
                <w:rFonts w:hint="default"/>
                <w:vertAlign w:val="baseline"/>
                <w:lang w:val="ru-RU"/>
              </w:rPr>
              <w:t>Гаевская, 1948</w:t>
            </w:r>
            <w:commentRangeEnd w:id="8"/>
            <w:r>
              <w:commentReference w:id="8"/>
            </w:r>
          </w:p>
        </w:tc>
      </w:tr>
      <w:tr w14:paraId="7DC4A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7" w:type="dxa"/>
          </w:tcPr>
          <w:p w14:paraId="6AC0746E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Многочисленные осколки раковин, с характерным синеватым призматическим слоем. Найдены также достаточно хорошо сохранившиеся почти целые створки. Останки расположены компактным слоем. </w:t>
            </w:r>
          </w:p>
          <w:p w14:paraId="4B84FC6C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  <w:tc>
          <w:tcPr>
            <w:tcW w:w="2911" w:type="dxa"/>
            <w:shd w:val="clear" w:color="auto" w:fill="auto"/>
            <w:vAlign w:val="top"/>
          </w:tcPr>
          <w:p w14:paraId="43ED9C28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i/>
                <w:iCs/>
                <w:vertAlign w:val="baseline"/>
                <w:lang w:val="en-US"/>
              </w:rPr>
              <w:t>Mytilus edulis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highlight w:val="none"/>
              </w:rPr>
              <w:t>Linnaeus, 1758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 </w:t>
            </w:r>
          </w:p>
          <w:p w14:paraId="3354757A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</w:p>
          <w:p w14:paraId="46C73AB6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Присутствие в отложениях второго вида беломорских мидий (</w:t>
            </w:r>
            <w:r>
              <w:rPr>
                <w:rFonts w:hint="default"/>
                <w:i/>
                <w:iCs/>
                <w:vertAlign w:val="baseline"/>
                <w:lang w:val="en-US"/>
              </w:rPr>
              <w:t>M.trossulus</w:t>
            </w:r>
            <w:r>
              <w:rPr>
                <w:rFonts w:hint="default"/>
                <w:vertAlign w:val="baseline"/>
                <w:lang w:val="en-US"/>
              </w:rPr>
              <w:t xml:space="preserve">) </w:t>
            </w:r>
            <w:r>
              <w:rPr>
                <w:rFonts w:hint="default"/>
                <w:vertAlign w:val="baseline"/>
                <w:lang w:val="ru-RU"/>
              </w:rPr>
              <w:t>маловероятно, так как всление этого вида происходило в историческое время (</w:t>
            </w:r>
            <w:r>
              <w:rPr>
                <w:rFonts w:hint="default"/>
                <w:vertAlign w:val="baseline"/>
                <w:lang w:val="en-US"/>
              </w:rPr>
              <w:t>Vainola, Strelkov, 2011</w:t>
            </w:r>
            <w:r>
              <w:rPr>
                <w:rFonts w:hint="default"/>
                <w:vertAlign w:val="baseline"/>
                <w:lang w:val="ru-RU"/>
              </w:rPr>
              <w:t xml:space="preserve">). </w:t>
            </w:r>
          </w:p>
          <w:p w14:paraId="7FAFA602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ru-RU" w:eastAsia="zh-CN"/>
              </w:rPr>
            </w:pPr>
          </w:p>
        </w:tc>
        <w:tc>
          <w:tcPr>
            <w:tcW w:w="3000" w:type="dxa"/>
          </w:tcPr>
          <w:p w14:paraId="4F4798DF">
            <w:pPr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vertAlign w:val="baseline"/>
                <w:lang w:val="ru-RU"/>
              </w:rPr>
              <w:t>Наумов</w:t>
            </w:r>
            <w:r>
              <w:rPr>
                <w:rFonts w:hint="default"/>
                <w:vertAlign w:val="baseline"/>
                <w:lang w:val="ru-RU"/>
              </w:rPr>
              <w:t xml:space="preserve">, </w:t>
            </w:r>
            <w:r>
              <w:rPr>
                <w:rFonts w:hint="default"/>
                <w:vertAlign w:val="baseline"/>
                <w:lang w:val="en-US"/>
              </w:rPr>
              <w:t>2006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</w:p>
        </w:tc>
      </w:tr>
    </w:tbl>
    <w:p w14:paraId="7AC20BA7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</w:pPr>
    </w:p>
    <w:p w14:paraId="4A495D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>Анализ распределения рецентных видов по глубине (Табл. ++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highlight w:val="none"/>
        </w:rPr>
        <w:t>) показал, что в нижней части разреза обнаруживаются фоссилии тех видов, которые в рецентн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ых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сообществах Ледовитого океана </w:t>
      </w:r>
      <w:r>
        <w:rPr>
          <w:rFonts w:ascii="Times New Roman" w:hAnsi="Times New Roman" w:cs="Times New Roman"/>
          <w:sz w:val="24"/>
          <w:szCs w:val="24"/>
          <w:highlight w:val="none"/>
        </w:rPr>
        <w:t>встречаются, в среднем, на достаточно большой глубине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(около 100 м)</w:t>
      </w:r>
      <w:r>
        <w:rPr>
          <w:rFonts w:ascii="Times New Roman" w:hAnsi="Times New Roman" w:cs="Times New Roman"/>
          <w:sz w:val="24"/>
          <w:szCs w:val="24"/>
          <w:highlight w:val="none"/>
        </w:rPr>
        <w:t>.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В верхней части разреза представлены более мелководные виды. </w:t>
      </w:r>
    </w:p>
    <w:p w14:paraId="7A7E2C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</w:p>
    <w:p w14:paraId="2B9987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>Таблица ++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+ 3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  Глубина обитания рецентных видов беспозвоночных, отмеченных в разных слоях разреза. </w:t>
      </w:r>
    </w:p>
    <w:tbl>
      <w:tblPr>
        <w:tblStyle w:val="13"/>
        <w:tblW w:w="8677" w:type="dxa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1"/>
        <w:gridCol w:w="1622"/>
        <w:gridCol w:w="2225"/>
        <w:gridCol w:w="2239"/>
      </w:tblGrid>
      <w:tr w14:paraId="1AE4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91" w:type="dxa"/>
            <w:shd w:val="clear" w:color="auto" w:fill="auto"/>
            <w:noWrap/>
            <w:vAlign w:val="center"/>
          </w:tcPr>
          <w:p w14:paraId="023BDE09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Species</w:t>
            </w:r>
          </w:p>
        </w:tc>
        <w:tc>
          <w:tcPr>
            <w:tcW w:w="1622" w:type="dxa"/>
            <w:shd w:val="clear" w:color="auto" w:fill="auto"/>
            <w:noWrap/>
            <w:vAlign w:val="center"/>
          </w:tcPr>
          <w:p w14:paraId="648F5BA5">
            <w:pPr>
              <w:ind w:left="0" w:leftChars="0" w:firstLine="0" w:firstLineChars="0"/>
              <w:textAlignment w:val="center"/>
              <w:rPr>
                <w:rFonts w:hint="default" w:ascii="Calibri" w:hAnsi="Calibri" w:cs="Calibri"/>
                <w:color w:val="000000"/>
                <w:highlight w:val="none"/>
                <w:lang w:val="en-US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Number of</w:t>
            </w:r>
            <w:r>
              <w:rPr>
                <w:rFonts w:hint="default" w:ascii="Calibri" w:hAnsi="Calibri" w:eastAsia="SimSun" w:cs="Calibri"/>
                <w:color w:val="000000"/>
                <w:sz w:val="24"/>
                <w:szCs w:val="24"/>
                <w:highlight w:val="none"/>
                <w:lang w:val="ru-RU" w:eastAsia="zh-CN" w:bidi="ar"/>
              </w:rPr>
              <w:t xml:space="preserve"> </w:t>
            </w: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references</w:t>
            </w:r>
            <w:r>
              <w:rPr>
                <w:rFonts w:hint="default" w:ascii="Calibri" w:hAnsi="Calibri" w:eastAsia="SimSun" w:cs="Calibri"/>
                <w:color w:val="000000"/>
                <w:sz w:val="24"/>
                <w:szCs w:val="24"/>
                <w:highlight w:val="none"/>
                <w:lang w:val="ru-RU" w:eastAsia="zh-CN" w:bidi="ar"/>
              </w:rPr>
              <w:t xml:space="preserve"> </w:t>
            </w:r>
            <w:r>
              <w:rPr>
                <w:rFonts w:hint="default"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 xml:space="preserve">from </w:t>
            </w: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 xml:space="preserve">OBIS </w:t>
            </w:r>
          </w:p>
        </w:tc>
        <w:tc>
          <w:tcPr>
            <w:tcW w:w="2225" w:type="dxa"/>
            <w:shd w:val="clear" w:color="auto" w:fill="auto"/>
            <w:noWrap/>
            <w:vAlign w:val="center"/>
          </w:tcPr>
          <w:p w14:paraId="50C55057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000000"/>
                <w:highlight w:val="none"/>
                <w:lang w:val="en-US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Median of species occurrence depth (m)</w:t>
            </w:r>
          </w:p>
        </w:tc>
        <w:tc>
          <w:tcPr>
            <w:tcW w:w="2239" w:type="dxa"/>
            <w:shd w:val="clear" w:color="auto" w:fill="auto"/>
            <w:noWrap/>
            <w:vAlign w:val="center"/>
          </w:tcPr>
          <w:p w14:paraId="6AA3A6BA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000000"/>
                <w:highlight w:val="none"/>
                <w:lang w:val="en-US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Median depth of section layer (cm from surface)</w:t>
            </w:r>
          </w:p>
        </w:tc>
      </w:tr>
      <w:tr w14:paraId="72B58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91" w:type="dxa"/>
            <w:shd w:val="clear" w:color="auto" w:fill="auto"/>
            <w:noWrap/>
            <w:vAlign w:val="center"/>
          </w:tcPr>
          <w:p w14:paraId="112AA679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Mytilus edulis</w:t>
            </w:r>
          </w:p>
        </w:tc>
        <w:tc>
          <w:tcPr>
            <w:tcW w:w="1622" w:type="dxa"/>
            <w:shd w:val="clear" w:color="auto" w:fill="auto"/>
            <w:noWrap/>
            <w:vAlign w:val="center"/>
          </w:tcPr>
          <w:p w14:paraId="5C60CAA0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4529</w:t>
            </w:r>
          </w:p>
        </w:tc>
        <w:tc>
          <w:tcPr>
            <w:tcW w:w="2225" w:type="dxa"/>
            <w:shd w:val="clear" w:color="auto" w:fill="auto"/>
            <w:noWrap/>
            <w:vAlign w:val="center"/>
          </w:tcPr>
          <w:p w14:paraId="61B17B48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 xml:space="preserve">10 </w:t>
            </w:r>
          </w:p>
        </w:tc>
        <w:tc>
          <w:tcPr>
            <w:tcW w:w="2239" w:type="dxa"/>
            <w:shd w:val="clear" w:color="auto" w:fill="auto"/>
            <w:noWrap/>
            <w:vAlign w:val="center"/>
          </w:tcPr>
          <w:p w14:paraId="7801BFB1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45</w:t>
            </w:r>
          </w:p>
        </w:tc>
      </w:tr>
      <w:tr w14:paraId="6C6D8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91" w:type="dxa"/>
            <w:shd w:val="clear" w:color="auto" w:fill="auto"/>
            <w:noWrap/>
            <w:vAlign w:val="center"/>
          </w:tcPr>
          <w:p w14:paraId="25E43BE3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Dipolydora quadrilobata</w:t>
            </w:r>
          </w:p>
        </w:tc>
        <w:tc>
          <w:tcPr>
            <w:tcW w:w="1622" w:type="dxa"/>
            <w:shd w:val="clear" w:color="auto" w:fill="auto"/>
            <w:noWrap/>
            <w:vAlign w:val="center"/>
          </w:tcPr>
          <w:p w14:paraId="0D9CAE45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369</w:t>
            </w:r>
          </w:p>
        </w:tc>
        <w:tc>
          <w:tcPr>
            <w:tcW w:w="2225" w:type="dxa"/>
            <w:shd w:val="clear" w:color="auto" w:fill="auto"/>
            <w:noWrap/>
            <w:vAlign w:val="center"/>
          </w:tcPr>
          <w:p w14:paraId="3552F242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 xml:space="preserve">19 </w:t>
            </w:r>
          </w:p>
        </w:tc>
        <w:tc>
          <w:tcPr>
            <w:tcW w:w="2239" w:type="dxa"/>
            <w:shd w:val="clear" w:color="auto" w:fill="auto"/>
            <w:noWrap/>
            <w:vAlign w:val="center"/>
          </w:tcPr>
          <w:p w14:paraId="3A5B1242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80</w:t>
            </w:r>
          </w:p>
        </w:tc>
      </w:tr>
      <w:tr w14:paraId="4C48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91" w:type="dxa"/>
            <w:shd w:val="clear" w:color="auto" w:fill="auto"/>
            <w:noWrap/>
            <w:vAlign w:val="center"/>
          </w:tcPr>
          <w:p w14:paraId="633128C6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Galathowenia oculata</w:t>
            </w:r>
          </w:p>
        </w:tc>
        <w:tc>
          <w:tcPr>
            <w:tcW w:w="1622" w:type="dxa"/>
            <w:shd w:val="clear" w:color="auto" w:fill="auto"/>
            <w:noWrap/>
            <w:vAlign w:val="center"/>
          </w:tcPr>
          <w:p w14:paraId="1920CE94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13616</w:t>
            </w:r>
          </w:p>
        </w:tc>
        <w:tc>
          <w:tcPr>
            <w:tcW w:w="2225" w:type="dxa"/>
            <w:shd w:val="clear" w:color="auto" w:fill="auto"/>
            <w:noWrap/>
            <w:vAlign w:val="center"/>
          </w:tcPr>
          <w:p w14:paraId="7DB1A249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 xml:space="preserve">171 </w:t>
            </w:r>
          </w:p>
        </w:tc>
        <w:tc>
          <w:tcPr>
            <w:tcW w:w="2239" w:type="dxa"/>
            <w:shd w:val="clear" w:color="auto" w:fill="auto"/>
            <w:noWrap/>
            <w:vAlign w:val="center"/>
          </w:tcPr>
          <w:p w14:paraId="278F0F83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140</w:t>
            </w:r>
          </w:p>
        </w:tc>
      </w:tr>
      <w:tr w14:paraId="6118C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91" w:type="dxa"/>
            <w:shd w:val="clear" w:color="auto" w:fill="auto"/>
            <w:noWrap/>
            <w:vAlign w:val="center"/>
          </w:tcPr>
          <w:p w14:paraId="22B9177E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Portlandia arctica</w:t>
            </w:r>
          </w:p>
        </w:tc>
        <w:tc>
          <w:tcPr>
            <w:tcW w:w="1622" w:type="dxa"/>
            <w:shd w:val="clear" w:color="auto" w:fill="auto"/>
            <w:noWrap/>
            <w:vAlign w:val="center"/>
          </w:tcPr>
          <w:p w14:paraId="7D64A256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301</w:t>
            </w:r>
          </w:p>
        </w:tc>
        <w:tc>
          <w:tcPr>
            <w:tcW w:w="2225" w:type="dxa"/>
            <w:shd w:val="clear" w:color="auto" w:fill="auto"/>
            <w:noWrap/>
            <w:vAlign w:val="center"/>
          </w:tcPr>
          <w:p w14:paraId="0C449E8F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 xml:space="preserve">25 </w:t>
            </w:r>
          </w:p>
        </w:tc>
        <w:tc>
          <w:tcPr>
            <w:tcW w:w="2239" w:type="dxa"/>
            <w:shd w:val="clear" w:color="auto" w:fill="auto"/>
            <w:noWrap/>
            <w:vAlign w:val="center"/>
          </w:tcPr>
          <w:p w14:paraId="6CDD4954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140</w:t>
            </w:r>
          </w:p>
        </w:tc>
      </w:tr>
      <w:tr w14:paraId="0FE01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591" w:type="dxa"/>
            <w:shd w:val="clear" w:color="auto" w:fill="auto"/>
            <w:noWrap/>
            <w:vAlign w:val="center"/>
          </w:tcPr>
          <w:p w14:paraId="3F06AEC0">
            <w:pPr>
              <w:ind w:left="0" w:leftChars="0" w:firstLine="0" w:firstLineChars="0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Nicomache minor</w:t>
            </w:r>
          </w:p>
        </w:tc>
        <w:tc>
          <w:tcPr>
            <w:tcW w:w="1622" w:type="dxa"/>
            <w:shd w:val="clear" w:color="auto" w:fill="auto"/>
            <w:noWrap/>
            <w:vAlign w:val="center"/>
          </w:tcPr>
          <w:p w14:paraId="29432657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23</w:t>
            </w:r>
          </w:p>
        </w:tc>
        <w:tc>
          <w:tcPr>
            <w:tcW w:w="2225" w:type="dxa"/>
            <w:shd w:val="clear" w:color="auto" w:fill="auto"/>
            <w:noWrap/>
            <w:vAlign w:val="center"/>
          </w:tcPr>
          <w:p w14:paraId="21703243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 xml:space="preserve">94 </w:t>
            </w:r>
          </w:p>
        </w:tc>
        <w:tc>
          <w:tcPr>
            <w:tcW w:w="2239" w:type="dxa"/>
            <w:shd w:val="clear" w:color="auto" w:fill="auto"/>
            <w:noWrap/>
            <w:vAlign w:val="center"/>
          </w:tcPr>
          <w:p w14:paraId="261F0922">
            <w:pPr>
              <w:ind w:left="0" w:leftChars="0" w:firstLine="0" w:firstLineChars="0"/>
              <w:jc w:val="right"/>
              <w:textAlignment w:val="center"/>
              <w:rPr>
                <w:rFonts w:ascii="Calibri" w:hAnsi="Calibri" w:cs="Calibri"/>
                <w:color w:val="000000"/>
                <w:highlight w:val="none"/>
              </w:rPr>
            </w:pPr>
            <w:r>
              <w:rPr>
                <w:rFonts w:ascii="Calibri" w:hAnsi="Calibri" w:eastAsia="SimSun" w:cs="Calibri"/>
                <w:color w:val="000000"/>
                <w:sz w:val="24"/>
                <w:szCs w:val="24"/>
                <w:highlight w:val="none"/>
                <w:lang w:val="en-US" w:eastAsia="zh-CN" w:bidi="ar"/>
              </w:rPr>
              <w:t>225</w:t>
            </w:r>
          </w:p>
        </w:tc>
      </w:tr>
    </w:tbl>
    <w:p w14:paraId="679B1F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</w:p>
    <w:p w14:paraId="59513B5E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</w:pPr>
    </w:p>
    <w:p w14:paraId="38B5D610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</w:pPr>
    </w:p>
    <w:p w14:paraId="2828759F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</w:pPr>
    </w:p>
    <w:p w14:paraId="7896B3AE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</w:pPr>
    </w:p>
    <w:p w14:paraId="4EF36EB5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  <w:t>В Обсуждение</w:t>
      </w:r>
    </w:p>
    <w:p w14:paraId="3C96B383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</w:pPr>
    </w:p>
    <w:p w14:paraId="0BB7C0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Явная корреляция между глубиной поселения видов в современных сообществах с расположением их фоссилий на разных уровнях Колвицкого разреза (Табл. ++2) позволяет трактовать наблюдаемые отложения не как одномоментное захоронение некоторого участка дна, а как сохранившуюся летопись, несущую информацию о  плеосукцессии, связанной с изменением глубины водоема, некогда существовашего в данной локации.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</w:t>
      </w:r>
    </w:p>
    <w:p w14:paraId="0167E4C8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  <w:t xml:space="preserve">Самая древняя часть разреза представлена мореной с мелкодисперсным осадком между камнями. Присутствие трубок </w:t>
      </w: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  <w:highlight w:val="none"/>
          <w:lang w:val="en-US"/>
        </w:rPr>
        <w:t>N.</w:t>
      </w: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i/>
          <w:iCs/>
          <w:color w:val="auto"/>
          <w:sz w:val="24"/>
          <w:szCs w:val="24"/>
          <w:highlight w:val="none"/>
          <w:lang w:val="en-US"/>
        </w:rPr>
        <w:t>minor</w:t>
      </w:r>
      <w:r>
        <w:rPr>
          <w:rFonts w:hint="default" w:ascii="Times New Roman" w:hAnsi="Times New Roman" w:cs="Times New Roman"/>
          <w:color w:val="auto"/>
          <w:sz w:val="24"/>
          <w:szCs w:val="24"/>
          <w:highlight w:val="none"/>
          <w:lang w:val="ru-RU"/>
        </w:rPr>
        <w:t xml:space="preserve"> на поверхности камней говорит о том, что морена в период формирования этих отложений не была покрыта слоем осадка. Это является следствием высокой скорости придонного течения.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Среди рецентных сообществ Белого моря такое сочетание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слабо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заиленного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каменистого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субстрата и трубок </w:t>
      </w:r>
      <w:r>
        <w:rPr>
          <w:rFonts w:hint="default" w:ascii="Times New Roman" w:hAnsi="Times New Roman" w:cs="Times New Roman"/>
          <w:i/>
          <w:iCs/>
          <w:sz w:val="24"/>
          <w:szCs w:val="24"/>
          <w:highlight w:val="none"/>
          <w:lang w:val="en-US"/>
        </w:rPr>
        <w:t>N.minor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>наблюдается на дне салм с мощным проточным режимом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 (</w:t>
      </w:r>
      <w:r>
        <w:rPr>
          <w:rFonts w:hint="default"/>
          <w:vertAlign w:val="baseline"/>
          <w:lang w:val="ru-RU"/>
        </w:rPr>
        <w:t>Флора и фауна ..., 2010; персональные наблюдения авторов)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Вероятно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, на первых этапах палеосукцессии в участке, где находится разрез, проходила салма,  соединяющая открытый участок моря с некоторой акваторией, на месте которой в настоящее время находится оз. Колвицкое.  </w:t>
      </w:r>
    </w:p>
    <w:p w14:paraId="4015B288">
      <w:pPr>
        <w:spacing w:after="0" w:line="240" w:lineRule="auto"/>
        <w:ind w:firstLine="709"/>
        <w:jc w:val="both"/>
        <w:rPr>
          <w:rFonts w:hint="default" w:ascii="Times New Roman" w:hAnsi="Times New Roman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Следующие события, были связаны с изменением проточного режима. Скорость течения снизилась, в пользу чего говорит обильное накопление осадка. Глубина при этом сохранялась достаточно большой, о чем свидетельствует присутствие в в отложениях многочисленных трубок глубоководного вида </w:t>
      </w:r>
      <w:r>
        <w:rPr>
          <w:rFonts w:hint="default" w:ascii="Times New Roman" w:hAnsi="Times New Roman" w:cs="Times New Roman"/>
          <w:i/>
          <w:iCs/>
          <w:sz w:val="24"/>
          <w:szCs w:val="24"/>
          <w:highlight w:val="none"/>
          <w:lang w:val="en-US"/>
        </w:rPr>
        <w:t>G. oculata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Сообщества с доминировнием этого вида известны из арктических фьордов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с глубин от 50 до 100 м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(</w:t>
      </w:r>
      <w:commentRangeStart w:id="9"/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Деарт, Бритаев, 2014; Larsen, 1997; Oug, Høisœter, 2000</w:t>
      </w:r>
      <w:commentRangeEnd w:id="9"/>
      <w:r>
        <w:commentReference w:id="9"/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). Вероятно, на данном этапе палеосукцессии, вследствие поднятия уровня дна, пролив, описанный выше, исчез и в описываемом районе возник фьорд, остатками которого явлется губа Колвица. В некоторый момент врмени в этом заливе начало формироваться сообщество с доминированием </w:t>
      </w:r>
      <w:r>
        <w:rPr>
          <w:rFonts w:hint="default" w:ascii="Times New Roman" w:hAnsi="Times New Roman"/>
          <w:i/>
          <w:iCs/>
          <w:sz w:val="24"/>
          <w:szCs w:val="24"/>
          <w:highlight w:val="none"/>
          <w:lang w:val="en-US"/>
        </w:rPr>
        <w:t>P.arctica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 xml:space="preserve">.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Этому периоду соответствуют отложения с многочисленными фоссилиями данного вида (слой 90 - 110 см, Табл. ++1). Актуалистическая модель сообщества, в котором доминирюут </w:t>
      </w:r>
      <w:r>
        <w:rPr>
          <w:rFonts w:hint="default" w:ascii="Times New Roman" w:hAnsi="Times New Roman"/>
          <w:i/>
          <w:iCs/>
          <w:sz w:val="24"/>
          <w:szCs w:val="24"/>
          <w:highlight w:val="none"/>
          <w:lang w:val="en-US"/>
        </w:rPr>
        <w:t>P.arctica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и </w:t>
      </w:r>
      <w:r>
        <w:rPr>
          <w:rFonts w:hint="default" w:ascii="Times New Roman" w:hAnsi="Times New Roman"/>
          <w:i/>
          <w:iCs/>
          <w:sz w:val="24"/>
          <w:szCs w:val="24"/>
          <w:highlight w:val="none"/>
          <w:lang w:val="en-US"/>
        </w:rPr>
        <w:t>G.oculata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>, представлена в проливе Великая салма на глубине 69-133 м (</w:t>
      </w:r>
      <w:commentRangeStart w:id="10"/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Mokievsky et al., 2020</w:t>
      </w:r>
      <w:commentRangeEnd w:id="10"/>
      <w:r>
        <w:commentReference w:id="10"/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)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. </w:t>
      </w:r>
    </w:p>
    <w:p w14:paraId="65459AAE">
      <w:pPr>
        <w:rPr>
          <w:rFonts w:ascii="Times New Roman" w:hAnsi="Times New Roman"/>
          <w:sz w:val="24"/>
          <w:szCs w:val="24"/>
          <w:highlight w:val="none"/>
        </w:rPr>
      </w:pP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В этот период существования сообщества, вероятно, наблюдались квазициклические изменения, связанные с накоплением осадка. Об этом свидетельствуют многочисленные чередующиеся слои, имеющие разную окраску (Рис. ++, </w:t>
      </w:r>
      <w:r>
        <w:rPr>
          <w:rFonts w:hint="default" w:ascii="Times New Roman" w:hAnsi="Times New Roman"/>
          <w:sz w:val="24"/>
          <w:szCs w:val="24"/>
          <w:highlight w:val="none"/>
          <w:lang w:val="en-US"/>
        </w:rPr>
        <w:t>F)</w:t>
      </w:r>
      <w:r>
        <w:rPr>
          <w:rFonts w:ascii="Times New Roman" w:hAnsi="Times New Roman"/>
          <w:sz w:val="24"/>
          <w:szCs w:val="24"/>
          <w:highlight w:val="none"/>
        </w:rPr>
        <w:t xml:space="preserve">. 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>Это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 можно трактовать, как </w:t>
      </w:r>
      <w:r>
        <w:rPr>
          <w:rFonts w:ascii="Times New Roman" w:hAnsi="Times New Roman"/>
          <w:sz w:val="24"/>
          <w:szCs w:val="24"/>
          <w:highlight w:val="none"/>
        </w:rPr>
        <w:t>черед</w:t>
      </w:r>
      <w:r>
        <w:rPr>
          <w:rFonts w:ascii="Times New Roman" w:hAnsi="Times New Roman"/>
          <w:sz w:val="24"/>
          <w:szCs w:val="24"/>
          <w:highlight w:val="none"/>
          <w:lang w:val="ru-RU"/>
        </w:rPr>
        <w:t>ование</w:t>
      </w:r>
      <w:r>
        <w:rPr>
          <w:rFonts w:hint="default" w:ascii="Times New Roman" w:hAnsi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highlight w:val="none"/>
        </w:rPr>
        <w:t xml:space="preserve">окислительных (на поверхности грунта) и восстановительных (толща грунта) условий. </w:t>
      </w:r>
    </w:p>
    <w:p w14:paraId="20E5F4DA">
      <w:pPr>
        <w:spacing w:after="0" w:line="240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Дальнейшее поднятие уровня дна при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вело к обмелению акватории. Это сопровождалось переходом к сообществам с доминированием более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мелководных и, возможно, более </w:t>
      </w:r>
      <w:r>
        <w:rPr>
          <w:rFonts w:ascii="Times New Roman" w:hAnsi="Times New Roman" w:cs="Times New Roman"/>
          <w:sz w:val="24"/>
          <w:szCs w:val="24"/>
          <w:highlight w:val="none"/>
        </w:rPr>
        <w:t>теплолюбивых животных (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  <w:lang w:val="en-US"/>
        </w:rPr>
        <w:t>D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  <w:lang w:val="en-US"/>
        </w:rPr>
        <w:t>quadrilobata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</w:rPr>
        <w:t xml:space="preserve"> + 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  <w:lang w:val="en-US"/>
        </w:rPr>
        <w:t>Macoma</w:t>
      </w:r>
      <w:r>
        <w:rPr>
          <w:rFonts w:hint="default" w:ascii="Times New Roman" w:hAnsi="Times New Roman" w:cs="Times New Roman"/>
          <w:i/>
          <w:iCs/>
          <w:sz w:val="24"/>
          <w:szCs w:val="24"/>
          <w:highlight w:val="none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highlight w:val="none"/>
          <w:lang w:val="en-US"/>
        </w:rPr>
        <w:t>sp.</w:t>
      </w:r>
      <w:r>
        <w:rPr>
          <w:rFonts w:ascii="Times New Roman" w:hAnsi="Times New Roman" w:cs="Times New Roman"/>
          <w:sz w:val="24"/>
          <w:szCs w:val="24"/>
          <w:highlight w:val="none"/>
        </w:rPr>
        <w:t>).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Плотные поселения 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  <w:lang w:val="en-US"/>
        </w:rPr>
        <w:t>D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  <w:highlight w:val="none"/>
          <w:lang w:val="en-US"/>
        </w:rPr>
        <w:t>quadrilobata</w:t>
      </w:r>
      <w:r>
        <w:rPr>
          <w:rFonts w:hint="default" w:ascii="Times New Roman" w:hAnsi="Times New Roman" w:cs="Times New Roman"/>
          <w:i/>
          <w:iCs/>
          <w:sz w:val="24"/>
          <w:szCs w:val="24"/>
          <w:highlight w:val="none"/>
          <w:lang w:val="ru-RU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highlight w:val="none"/>
          <w:lang w:val="ru-RU"/>
        </w:rPr>
        <w:t>характерны для тех участков верхней сублиторали Белого моря, которые расположенных в затишных условиях (</w:t>
      </w:r>
      <w:commentRangeStart w:id="11"/>
      <w:r>
        <w:rPr>
          <w:rFonts w:hint="default" w:ascii="Times New Roman" w:hAnsi="Times New Roman" w:cs="Times New Roman"/>
          <w:i w:val="0"/>
          <w:iCs w:val="0"/>
          <w:sz w:val="24"/>
          <w:szCs w:val="24"/>
          <w:highlight w:val="none"/>
          <w:lang w:val="en-US"/>
        </w:rPr>
        <w:t>Khaitov et al, 1999</w:t>
      </w:r>
      <w:commentRangeEnd w:id="11"/>
      <w:r>
        <w:commentReference w:id="11"/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highlight w:val="none"/>
          <w:lang w:val="ru-RU"/>
        </w:rPr>
        <w:t xml:space="preserve">). Таким условиям вполне соответствуют параметры мелководий многих полузолированных заливов Белого моря. Возможно, что в этот период описываемый участок был кутовой частью фьорда.   </w:t>
      </w:r>
    </w:p>
    <w:p w14:paraId="29D139CF">
      <w:pPr>
        <w:rPr>
          <w:color w:val="auto"/>
          <w:highlight w:val="none"/>
          <w:lang w:val="en-US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В какой-то момент поднятие дна привело к выходу данного участка в верхнюю сублитораль или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на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  <w:t>литораль, где и сформировалась мидиевая банка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. Мощность слоя отложений, соответствующих мидиевой банке невелика, всего около 20 см. В то же время, рецентные мидиевые банки Белого моря подстилаются значительно более толстым слоем ракуши (</w:t>
      </w:r>
      <w:commentRangeStart w:id="12"/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Хайтов, 1999</w:t>
      </w:r>
      <w:commentRangeEnd w:id="12"/>
      <w:r>
        <w:commentReference w:id="12"/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>), мощность которого достигает нескольких десятков сантиметров. Эти слои ракушечника накапливаются вследствие многократно повторяющихся циклов отмирания и возобновления поселения мидий (</w:t>
      </w:r>
      <w:commentRangeStart w:id="13"/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Khaitov, Lentsman, 2016</w:t>
      </w:r>
      <w:commentRangeEnd w:id="13"/>
      <w:r>
        <w:commentReference w:id="13"/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 xml:space="preserve">).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В данной локации таких многократных повторений выявлено не было. Это может быть следствием очень быстрого поднятия уровня дна, вследствие которых участок дна, где представлены отложения, быстро превратился в сушу, на чем и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закончилась морская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часть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  <w:lang w:val="ru-RU"/>
        </w:rPr>
        <w:t>палеосукцессии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     </w:t>
      </w: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google1599737165" w:date="2025-10-24T14:20:47Z" w:initials="">
    <w:p w14:paraId="40A516E9">
      <w:pPr>
        <w:pStyle w:val="43"/>
        <w:rPr>
          <w:rFonts w:hint="default"/>
        </w:rPr>
      </w:pPr>
      <w:r>
        <w:rPr>
          <w:rFonts w:hint="default"/>
        </w:rPr>
        <w:t xml:space="preserve"> Provoost P, Bosch S (2022). _robis: Ocean Biodiversity Information System (OBIS)</w:t>
      </w:r>
    </w:p>
    <w:p w14:paraId="7C785992">
      <w:pPr>
        <w:pStyle w:val="43"/>
      </w:pPr>
      <w:r>
        <w:rPr>
          <w:rFonts w:hint="default"/>
        </w:rPr>
        <w:t xml:space="preserve">  Client_. R package version 2.11.3, &lt;https://CRAN.R-project.org/package=robis&gt;.</w:t>
      </w:r>
    </w:p>
  </w:comment>
  <w:comment w:id="1" w:author="google1599737165" w:date="2025-10-24T14:21:50Z" w:initials="">
    <w:p w14:paraId="4047726A">
      <w:pPr>
        <w:pStyle w:val="43"/>
      </w:pPr>
      <w:r>
        <w:rPr>
          <w:rFonts w:hint="default"/>
        </w:rPr>
        <w:t>R Core Team (2023). R: A language and environment for statistical computing. R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Foundation for Statistical Computing, Vienna, Austria. URL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https://www.R-project.org/.</w:t>
      </w:r>
    </w:p>
  </w:comment>
  <w:comment w:id="2" w:author="google1599737165" w:date="2025-10-14T15:26:00Z" w:initials="">
    <w:p w14:paraId="24BAFCA4">
      <w:pPr>
        <w:pStyle w:val="43"/>
        <w:rPr>
          <w:lang w:val="en-US"/>
        </w:rPr>
      </w:pPr>
      <w:r>
        <w:rPr>
          <w:rFonts w:ascii="Segoe UI" w:hAnsi="Segoe UI" w:eastAsia="Segoe UI" w:cs="Segoe UI"/>
          <w:color w:val="0F1115"/>
          <w:sz w:val="19"/>
          <w:szCs w:val="19"/>
          <w:shd w:val="clear" w:color="auto" w:fill="FFFFFF"/>
        </w:rPr>
        <w:t xml:space="preserve">OBIS. </w:t>
      </w:r>
      <w:r>
        <w:rPr>
          <w:rFonts w:ascii="Segoe UI" w:hAnsi="Segoe UI" w:eastAsia="Segoe UI" w:cs="Segoe UI"/>
          <w:color w:val="0F1115"/>
          <w:sz w:val="19"/>
          <w:szCs w:val="19"/>
          <w:shd w:val="clear" w:color="auto" w:fill="FFFFFF"/>
          <w:lang w:val="en-US"/>
        </w:rPr>
        <w:t>(2025). </w:t>
      </w:r>
      <w:r>
        <w:rPr>
          <w:rStyle w:val="20"/>
          <w:rFonts w:ascii="Segoe UI" w:hAnsi="Segoe UI" w:eastAsia="Segoe UI" w:cs="Segoe UI"/>
          <w:color w:val="0F1115"/>
          <w:sz w:val="19"/>
          <w:szCs w:val="19"/>
          <w:shd w:val="clear" w:color="auto" w:fill="FFFFFF"/>
          <w:lang w:val="en-US"/>
        </w:rPr>
        <w:t>Ocean Biodiversity Information System</w:t>
      </w:r>
      <w:r>
        <w:rPr>
          <w:rFonts w:ascii="Segoe UI" w:hAnsi="Segoe UI" w:eastAsia="Segoe UI" w:cs="Segoe UI"/>
          <w:color w:val="0F1115"/>
          <w:sz w:val="19"/>
          <w:szCs w:val="19"/>
          <w:shd w:val="clear" w:color="auto" w:fill="FFFFFF"/>
          <w:lang w:val="en-US"/>
        </w:rPr>
        <w:t>. Retrieved October 12, 2025, from </w:t>
      </w:r>
      <w:r>
        <w:fldChar w:fldCharType="begin"/>
      </w:r>
      <w:r>
        <w:instrText xml:space="preserve"> HYPERLINK "https://obis.org/" \t "https://chat.deepseek.com/a/chat/s/_blank" </w:instrText>
      </w:r>
      <w:r>
        <w:fldChar w:fldCharType="separate"/>
      </w:r>
      <w:r>
        <w:rPr>
          <w:rStyle w:val="21"/>
          <w:rFonts w:ascii="Segoe UI" w:hAnsi="Segoe UI" w:eastAsia="Segoe UI" w:cs="Segoe UI"/>
          <w:color w:val="3964FE"/>
          <w:sz w:val="19"/>
          <w:szCs w:val="19"/>
          <w:u w:val="none"/>
          <w:shd w:val="clear" w:color="auto" w:fill="FFFFFF"/>
          <w:lang w:val="en-US"/>
        </w:rPr>
        <w:t>https://obis.org</w:t>
      </w:r>
      <w:r>
        <w:rPr>
          <w:rStyle w:val="21"/>
          <w:rFonts w:ascii="Segoe UI" w:hAnsi="Segoe UI" w:eastAsia="Segoe UI" w:cs="Segoe UI"/>
          <w:color w:val="3964FE"/>
          <w:sz w:val="19"/>
          <w:szCs w:val="19"/>
          <w:u w:val="none"/>
          <w:shd w:val="clear" w:color="auto" w:fill="FFFFFF"/>
          <w:lang w:val="en-US"/>
        </w:rPr>
        <w:fldChar w:fldCharType="end"/>
      </w:r>
      <w:r>
        <w:rPr>
          <w:rFonts w:ascii="Segoe UI" w:hAnsi="Segoe UI" w:eastAsia="Segoe UI" w:cs="Segoe UI"/>
          <w:color w:val="0F1115"/>
          <w:sz w:val="19"/>
          <w:szCs w:val="19"/>
          <w:shd w:val="clear" w:color="auto" w:fill="FFFFFF"/>
          <w:lang w:val="en-US"/>
        </w:rPr>
        <w:t>.</w:t>
      </w:r>
    </w:p>
  </w:comment>
  <w:comment w:id="3" w:author="google1599737165" w:date="2025-10-28T14:06:15Z" w:initials="">
    <w:p w14:paraId="1732E3CC">
      <w:pPr>
        <w:pStyle w:val="43"/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Shcherbakova, T. D., Tzetlin, A. B., Mardashova, M. V., &amp; Sokolova, O. S. (2017). Fine structure of the tubes of Maldanidae (Annelida).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Journal of the Marine Biological Association of the United Kingdom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,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97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(5), 1177-1187.</w:t>
      </w:r>
    </w:p>
  </w:comment>
  <w:comment w:id="4" w:author="google1599737165" w:date="2025-10-28T14:07:23Z" w:initials="">
    <w:p w14:paraId="5F1BF3B5">
      <w:pPr>
        <w:pStyle w:val="43"/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Королева, Н. Е., Боровичев, Е. А., &amp; Нехаев, И. О. (2012). Флора и фауна Белого моря: иллюстрированный атлас/под ред. АБ Цетлина, АЭ Жадан, НН Марфенина. М., 2010. 471 с.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Бюллетень Московского общества испытателей природы. Отдел биологический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,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117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(5), 84-85.</w:t>
      </w:r>
    </w:p>
  </w:comment>
  <w:comment w:id="5" w:author="google1599737165" w:date="2025-10-28T14:32:57Z" w:initials="">
    <w:p w14:paraId="4DE3DD12">
      <w:pPr>
        <w:pStyle w:val="43"/>
        <w:rPr>
          <w:rFonts w:hint="default"/>
          <w:lang w:val="ru-RU"/>
        </w:rPr>
      </w:pPr>
      <w:r>
        <w:rPr>
          <w:lang w:val="ru-RU"/>
        </w:rPr>
        <w:t>Не</w:t>
      </w:r>
      <w:r>
        <w:rPr>
          <w:rFonts w:hint="default"/>
          <w:lang w:val="ru-RU"/>
        </w:rPr>
        <w:t xml:space="preserve"> очень понятно как ссылаться на этот сайт</w:t>
      </w:r>
    </w:p>
  </w:comment>
  <w:comment w:id="6" w:author="google1599737165" w:date="2025-10-28T14:08:42Z" w:initials="">
    <w:p w14:paraId="7DE9B32B">
      <w:pPr>
        <w:pStyle w:val="43"/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Наумов, А. Д. (2006). Двустворчатые моллюски Белого моря. Опыт эколого-фаунистического анализа.</w:t>
      </w:r>
    </w:p>
  </w:comment>
  <w:comment w:id="7" w:author="google1599737165" w:date="2025-10-28T14:10:21Z" w:initials="">
    <w:p w14:paraId="334F24F1">
      <w:pPr>
        <w:pStyle w:val="43"/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Hempel, C. (1957). Über den Röhrenbau und die Nahrungsaufnahme einiger Spioniden (Polychaeta sedentaria) der deutschen Küsten.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Helgoländer Wissenschaftliche Meeresuntersuchungen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,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6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(1), 100-135.</w:t>
      </w:r>
    </w:p>
  </w:comment>
  <w:comment w:id="8" w:author="google1599737165" w:date="2025-10-28T14:10:56Z" w:initials="">
    <w:p w14:paraId="76612355">
      <w:pPr>
        <w:pStyle w:val="43"/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Гаевская, Н. С. (1948). Определитель фауны и флоры северных морей СССР.</w:t>
      </w:r>
    </w:p>
  </w:comment>
  <w:comment w:id="9" w:author="google1599737165" w:date="2025-10-28T14:17:30Z" w:initials="">
    <w:p w14:paraId="018A7BC4">
      <w:pPr>
        <w:pStyle w:val="43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Деарт, Ю. В., &amp; Бритаев, T. A. (2014). " Новое" донное сообщество с доминированием овениид (Polychaeta, Oweniidae) у побережья Мурмана: структура и причины появления. In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Доклады Академии наук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 (Vol. 454, No. 2, pp. 232-232). Федеральное государственное бюджетное учреждение" Российская академия наук".</w:t>
      </w:r>
    </w:p>
    <w:p w14:paraId="43304241">
      <w:pPr>
        <w:pStyle w:val="43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</w:pPr>
    </w:p>
    <w:p w14:paraId="3EC5FCF4">
      <w:pPr>
        <w:pStyle w:val="43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Larsen, L. H. (1998). Soft-bottom macro invertebrate fauna of North Norwegian coastal waters with particular reference to sill-basins. Part one: Bottom topography and species diversity.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Oceanographic Literature Review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,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7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(45), 1181.</w:t>
      </w:r>
    </w:p>
    <w:p w14:paraId="24768B14">
      <w:pPr>
        <w:pStyle w:val="43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</w:pPr>
    </w:p>
    <w:p w14:paraId="7C3E0172">
      <w:pPr>
        <w:pStyle w:val="43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</w:pPr>
    </w:p>
    <w:p w14:paraId="40FE6399">
      <w:pPr>
        <w:pStyle w:val="43"/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Oug, E., &amp; Høisœter, T. (2000). Soft-bottom macrofauna in the high-latitude ecosystem of Balsfjord, northern Norway: species composition, community structure and temporal variability.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Sarsia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,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85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(1), 1-13.</w:t>
      </w:r>
    </w:p>
  </w:comment>
  <w:comment w:id="10" w:author="google1599737165" w:date="2025-10-28T14:24:23Z" w:initials="">
    <w:p w14:paraId="530F9DCE">
      <w:pPr>
        <w:pStyle w:val="43"/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Mokievsky, V. O., Udalov, A. A., Chava, A. I., Simakova, U. V., Kokarev, V. N., &amp; Neretina, T. V. (2020, August). Portlandia-dominated communities in the Arctic: taxonomic composition and structure along the geographical gradient. In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Doklady Earth Sciences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 (Vol. 493, No. 2, pp. 645-648). Moscow: Pleiades Publishing.</w:t>
      </w:r>
    </w:p>
  </w:comment>
  <w:comment w:id="11" w:author="google1599737165" w:date="2025-10-28T14:27:07Z" w:initials="">
    <w:p w14:paraId="56E31D74">
      <w:pPr>
        <w:pStyle w:val="43"/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Khaitov, V. M., Fokin, M. V., &amp; Nicolaeva, A. M. (1999). Structure of communities associated with dense assemblages of the tube-dwelling polychaete Polydora quadrilobata Jacobi (Spionidae) in the White Sea.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Hydrobiologia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,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393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(0), 221-226.</w:t>
      </w:r>
    </w:p>
  </w:comment>
  <w:comment w:id="12" w:author="google1599737165" w:date="2025-10-24T16:19:07Z" w:initials="">
    <w:p w14:paraId="52A67580">
      <w:pPr>
        <w:pStyle w:val="43"/>
        <w:rPr>
          <w:rFonts w:hint="default"/>
          <w:lang w:val="ru-RU"/>
        </w:rPr>
      </w:pPr>
      <w:r>
        <w:rPr>
          <w:rFonts w:hint="default"/>
          <w:lang w:val="ru-RU"/>
        </w:rPr>
        <w:t xml:space="preserve">Хайтов В. М. (1999) Сообщества донных беспозвоночных, связанные с естественными плотными поселениями мидий на мелководьях Белого моря: Структура, динамика, биотические взаимоотношения. Кандидатская диссертация.  </w:t>
      </w:r>
    </w:p>
  </w:comment>
  <w:comment w:id="13" w:author="google1599737165" w:date="2025-10-28T14:32:05Z" w:initials="">
    <w:p w14:paraId="05548C19">
      <w:pPr>
        <w:pStyle w:val="43"/>
      </w:pPr>
      <w: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Khaitov, V. M., &amp; Lentsman, N. V. (2016). The cycle of mussels: long-term dynamics of mussel beds on intertidal soft bottoms at the White Sea.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Hydrobiologia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, </w:t>
      </w:r>
      <w:r>
        <w:rPr>
          <w:rFonts w:hint="default" w:ascii="Arial" w:hAnsi="Arial" w:eastAsia="SimSun" w:cs="Arial"/>
          <w:i/>
          <w:iCs/>
          <w:caps w:val="0"/>
          <w:color w:val="222222"/>
          <w:spacing w:val="0"/>
          <w:sz w:val="15"/>
          <w:szCs w:val="15"/>
          <w:shd w:val="clear" w:fill="FFFFFF"/>
        </w:rPr>
        <w:t>781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(1), 161-180.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C785992" w15:done="0"/>
  <w15:commentEx w15:paraId="4047726A" w15:done="0"/>
  <w15:commentEx w15:paraId="24BAFCA4" w15:done="0"/>
  <w15:commentEx w15:paraId="1732E3CC" w15:done="0"/>
  <w15:commentEx w15:paraId="5F1BF3B5" w15:done="0"/>
  <w15:commentEx w15:paraId="4DE3DD12" w15:done="0"/>
  <w15:commentEx w15:paraId="7DE9B32B" w15:done="0"/>
  <w15:commentEx w15:paraId="334F24F1" w15:done="0"/>
  <w15:commentEx w15:paraId="76612355" w15:done="0"/>
  <w15:commentEx w15:paraId="40FE6399" w15:done="0"/>
  <w15:commentEx w15:paraId="530F9DCE" w15:done="0"/>
  <w15:commentEx w15:paraId="56E31D74" w15:done="0"/>
  <w15:commentEx w15:paraId="52A67580" w15:done="0"/>
  <w15:commentEx w15:paraId="05548C19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oogle1599737165">
    <w15:presenceInfo w15:providerId="WPS Office" w15:userId="24258882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15160B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0F38219B"/>
    <w:rsid w:val="13A260BC"/>
    <w:rsid w:val="151B6F8F"/>
    <w:rsid w:val="20FB5CD7"/>
    <w:rsid w:val="2115160B"/>
    <w:rsid w:val="2C7548FE"/>
    <w:rsid w:val="391B30B1"/>
    <w:rsid w:val="3A5B4A05"/>
    <w:rsid w:val="3AF07EBB"/>
    <w:rsid w:val="3D2E204C"/>
    <w:rsid w:val="4B32292F"/>
    <w:rsid w:val="4DC82D45"/>
    <w:rsid w:val="50225E22"/>
    <w:rsid w:val="552E3A44"/>
    <w:rsid w:val="571A361F"/>
    <w:rsid w:val="6A8F5933"/>
    <w:rsid w:val="6F2032B0"/>
    <w:rsid w:val="71511E5F"/>
    <w:rsid w:val="719F7B15"/>
    <w:rsid w:val="74433C77"/>
    <w:rsid w:val="7680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ind w:firstLine="641" w:firstLineChars="200"/>
      <w:jc w:val="both"/>
    </w:pPr>
    <w:rPr>
      <w:rFonts w:asciiTheme="minorAscii" w:hAnsiTheme="minorAsci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480" w:after="0"/>
      <w:jc w:val="center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32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151"/>
    <w:semiHidden/>
    <w:unhideWhenUsed/>
    <w:qFormat/>
    <w:uiPriority w:val="0"/>
    <w:pPr>
      <w:keepNext/>
      <w:keepLines/>
      <w:spacing w:before="200" w:after="0"/>
      <w:jc w:val="center"/>
      <w:outlineLvl w:val="1"/>
    </w:pPr>
    <w:rPr>
      <w:rFonts w:asciiTheme="majorAscii" w:hAnsiTheme="majorAscii" w:eastAsiaTheme="majorEastAsia" w:cstheme="majorBidi"/>
      <w:b/>
      <w:bCs/>
      <w:i/>
      <w:color w:val="000000" w:themeColor="text1"/>
      <w:szCs w:val="24"/>
      <w:lang w:eastAsia="en-US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3"/>
    <w:semiHidden/>
    <w:unhideWhenUsed/>
    <w:qFormat/>
    <w:uiPriority w:val="0"/>
    <w:pPr>
      <w:keepNext/>
      <w:keepLines/>
      <w:spacing w:before="200" w:after="0"/>
      <w:jc w:val="both"/>
      <w:outlineLvl w:val="5"/>
    </w:pPr>
    <w:rPr>
      <w:rFonts w:asciiTheme="majorAscii" w:hAnsiTheme="majorAscii" w:eastAsiaTheme="majorEastAsia" w:cstheme="majorBidi"/>
      <w:color w:val="000000" w:themeColor="text1"/>
      <w:sz w:val="20"/>
      <w:szCs w:val="24"/>
      <w:lang w:eastAsia="en-US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2"/>
    <w:qFormat/>
    <w:uiPriority w:val="0"/>
    <w:pPr>
      <w:spacing w:before="180" w:after="180"/>
      <w:jc w:val="both"/>
    </w:pPr>
    <w:rPr>
      <w:rFonts w:asciiTheme="minorAscii" w:hAnsiTheme="minorAscii" w:eastAsiaTheme="minorEastAsia"/>
      <w:szCs w:val="24"/>
      <w:lang w:eastAsia="en-US"/>
    </w:rPr>
  </w:style>
  <w:style w:type="character" w:styleId="14">
    <w:name w:val="HTML Sample"/>
    <w:basedOn w:val="12"/>
    <w:autoRedefine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6">
    <w:name w:val="footnote reference"/>
    <w:basedOn w:val="12"/>
    <w:autoRedefine/>
    <w:qFormat/>
    <w:uiPriority w:val="0"/>
    <w:rPr>
      <w:vertAlign w:val="superscript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character" w:styleId="18">
    <w:name w:val="endnote reference"/>
    <w:basedOn w:val="12"/>
    <w:autoRedefine/>
    <w:qFormat/>
    <w:uiPriority w:val="0"/>
    <w:rPr>
      <w:vertAlign w:val="superscript"/>
    </w:rPr>
  </w:style>
  <w:style w:type="character" w:styleId="19">
    <w:name w:val="HTML Acronym"/>
    <w:basedOn w:val="12"/>
    <w:autoRedefine/>
    <w:qFormat/>
    <w:uiPriority w:val="0"/>
  </w:style>
  <w:style w:type="character" w:styleId="20">
    <w:name w:val="Emphasis"/>
    <w:basedOn w:val="12"/>
    <w:autoRedefine/>
    <w:qFormat/>
    <w:uiPriority w:val="0"/>
    <w:rPr>
      <w:i/>
      <w:iCs/>
    </w:rPr>
  </w:style>
  <w:style w:type="character" w:styleId="21">
    <w:name w:val="Hyperlink"/>
    <w:basedOn w:val="12"/>
    <w:autoRedefine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autoRedefine/>
    <w:qFormat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autoRedefine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autoRedefine/>
    <w:qFormat/>
    <w:uiPriority w:val="0"/>
    <w:rPr>
      <w:i/>
      <w:iCs/>
    </w:rPr>
  </w:style>
  <w:style w:type="paragraph" w:styleId="31">
    <w:name w:val="Balloon Text"/>
    <w:basedOn w:val="1"/>
    <w:autoRedefine/>
    <w:qFormat/>
    <w:uiPriority w:val="0"/>
    <w:rPr>
      <w:sz w:val="16"/>
      <w:szCs w:val="16"/>
    </w:rPr>
  </w:style>
  <w:style w:type="paragraph" w:styleId="32">
    <w:name w:val="List 5"/>
    <w:basedOn w:val="1"/>
    <w:autoRedefine/>
    <w:qFormat/>
    <w:uiPriority w:val="0"/>
    <w:pPr>
      <w:ind w:left="1800" w:hanging="360"/>
    </w:pPr>
  </w:style>
  <w:style w:type="paragraph" w:styleId="33">
    <w:name w:val="List Continue"/>
    <w:basedOn w:val="1"/>
    <w:autoRedefine/>
    <w:qFormat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6">
    <w:name w:val="Closing"/>
    <w:basedOn w:val="1"/>
    <w:autoRedefine/>
    <w:qFormat/>
    <w:uiPriority w:val="0"/>
    <w:pPr>
      <w:ind w:left="4320"/>
    </w:pPr>
  </w:style>
  <w:style w:type="paragraph" w:styleId="37">
    <w:name w:val="Normal Indent"/>
    <w:basedOn w:val="1"/>
    <w:autoRedefine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qFormat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qFormat/>
    <w:uiPriority w:val="0"/>
    <w:pPr>
      <w:jc w:val="left"/>
    </w:pPr>
  </w:style>
  <w:style w:type="paragraph" w:styleId="44">
    <w:name w:val="index 1"/>
    <w:basedOn w:val="1"/>
    <w:next w:val="1"/>
    <w:qFormat/>
    <w:uiPriority w:val="0"/>
  </w:style>
  <w:style w:type="paragraph" w:styleId="45">
    <w:name w:val="annotation subject"/>
    <w:basedOn w:val="43"/>
    <w:next w:val="43"/>
    <w:qFormat/>
    <w:uiPriority w:val="0"/>
    <w:rPr>
      <w:b/>
      <w:bCs/>
    </w:rPr>
  </w:style>
  <w:style w:type="paragraph" w:styleId="46">
    <w:name w:val="Document Map"/>
    <w:basedOn w:val="1"/>
    <w:qFormat/>
    <w:uiPriority w:val="0"/>
    <w:pPr>
      <w:shd w:val="clear" w:color="auto" w:fill="000080"/>
    </w:pPr>
  </w:style>
  <w:style w:type="paragraph" w:styleId="4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qFormat/>
    <w:uiPriority w:val="0"/>
    <w:pPr>
      <w:ind w:left="400" w:leftChars="400"/>
    </w:pPr>
  </w:style>
  <w:style w:type="paragraph" w:styleId="54">
    <w:name w:val="index 5"/>
    <w:basedOn w:val="1"/>
    <w:next w:val="1"/>
    <w:qFormat/>
    <w:uiPriority w:val="0"/>
    <w:pPr>
      <w:ind w:left="800" w:leftChars="8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qFormat/>
    <w:uiPriority w:val="0"/>
    <w:pPr>
      <w:ind w:left="3360" w:leftChars="1600"/>
    </w:pPr>
  </w:style>
  <w:style w:type="paragraph" w:styleId="58">
    <w:name w:val="toc 7"/>
    <w:basedOn w:val="1"/>
    <w:next w:val="1"/>
    <w:qFormat/>
    <w:uiPriority w:val="0"/>
    <w:pPr>
      <w:ind w:left="2520" w:leftChars="1200"/>
    </w:pPr>
  </w:style>
  <w:style w:type="paragraph" w:styleId="59">
    <w:name w:val="index 6"/>
    <w:basedOn w:val="1"/>
    <w:next w:val="1"/>
    <w:qFormat/>
    <w:uiPriority w:val="0"/>
    <w:pPr>
      <w:ind w:left="1000" w:leftChars="1000"/>
    </w:pPr>
  </w:style>
  <w:style w:type="paragraph" w:styleId="60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qFormat/>
    <w:uiPriority w:val="0"/>
    <w:pPr>
      <w:ind w:left="1400" w:leftChars="140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3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:lang w:eastAsia="en-US"/>
      <w14:textFill>
        <w14:solidFill>
          <w14:schemeClr w14:val="tx1"/>
        </w14:solidFill>
      </w14:textFill>
    </w:rPr>
  </w:style>
  <w:style w:type="paragraph" w:styleId="86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2"/>
    <w:link w:val="4"/>
    <w:qFormat/>
    <w:uiPriority w:val="9"/>
    <w:rPr>
      <w:rFonts w:asciiTheme="majorAscii" w:hAnsiTheme="majorAscii" w:eastAsiaTheme="majorEastAsia" w:cstheme="majorBidi"/>
      <w:b/>
      <w:color w:val="5B9BD5" w:themeColor="accent1"/>
      <w:sz w:val="28"/>
      <w:szCs w:val="28"/>
      <w:lang w:val="ru-RU" w:eastAsia="en-US"/>
      <w14:textFill>
        <w14:solidFill>
          <w14:schemeClr w14:val="accent1"/>
        </w14:solidFill>
      </w14:textFill>
    </w:rPr>
  </w:style>
  <w:style w:type="character" w:customStyle="1" w:styleId="152">
    <w:name w:val="Body Text Char"/>
    <w:basedOn w:val="12"/>
    <w:link w:val="3"/>
    <w:qFormat/>
    <w:uiPriority w:val="0"/>
    <w:rPr>
      <w:rFonts w:asciiTheme="minorAscii" w:hAnsiTheme="minorAscii" w:eastAsiaTheme="minorEastAsia"/>
      <w:szCs w:val="24"/>
      <w:lang w:eastAsia="en-US"/>
    </w:rPr>
  </w:style>
  <w:style w:type="paragraph" w:customStyle="1" w:styleId="153">
    <w:name w:val="Image Caption"/>
    <w:basedOn w:val="42"/>
    <w:qFormat/>
    <w:uiPriority w:val="0"/>
    <w:pPr>
      <w:jc w:val="both"/>
    </w:pPr>
    <w:rPr>
      <w:rFonts w:asciiTheme="minorAscii" w:hAnsiTheme="minorAscii" w:eastAsiaTheme="minorEastAsia" w:cstheme="minorBidi"/>
      <w:i/>
      <w:sz w:val="20"/>
      <w:szCs w:val="24"/>
      <w:lang w:eastAsia="en-US"/>
    </w:rPr>
  </w:style>
  <w:style w:type="paragraph" w:customStyle="1" w:styleId="154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2025-10-24T11:16:00Z</dcterms:created>
  <dc:creator>google1599737165</dc:creator>
  <cp:lastModifiedBy>google1599737165</cp:lastModifiedBy>
  <dcterms:modified xsi:type="dcterms:W3CDTF">2025-10-28T12:10:01Z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683AB03C1EA6441C8BAF943DCD1195F4_11</vt:lpwstr>
  </property>
</Properties>
</file>