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335" w:rsidRDefault="00313A6F">
      <w:pPr>
        <w:pStyle w:val="1"/>
      </w:pPr>
      <w:bookmarkStart w:id="0" w:name="материалы-для-электронного-приложения"/>
      <w:r>
        <w:t>Материалы для электронного приложения</w:t>
      </w:r>
    </w:p>
    <w:p w:rsidR="00A03335" w:rsidRDefault="00313A6F">
      <w:pPr>
        <w:pStyle w:val="2"/>
      </w:pPr>
      <w:bookmarkStart w:id="1" w:name="X19294d813ae4a389d5acb14160e344aec50ea2d"/>
      <w:r>
        <w:t>Модель, описывающая распределение численности особей трех видов лебедей в ледовый и безледные периоды года (модель GAMM1)</w:t>
      </w:r>
    </w:p>
    <w:p w:rsidR="00A03335" w:rsidRPr="00CC666F" w:rsidRDefault="00313A6F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 w:firstLine="0"/>
        <w:jc w:val="center"/>
        <w:rPr>
          <w:lang w:val="en-US"/>
        </w:rPr>
      </w:pPr>
      <w:r>
        <w:t xml:space="preserve">STable ++. Результаты подгонки обобщенной аддитивной модели  (Модель GAMM1) для оценки влияния факторов на пространственное распределение трех видов лебедей в ледовый и безледовый периоды.  </w:t>
      </w:r>
      <w:r w:rsidRPr="00CC666F">
        <w:rPr>
          <w:lang w:val="en-US"/>
        </w:rPr>
        <w:t>Table 1. Fitting results of the generalized additive mixed model (</w:t>
      </w:r>
      <w:r w:rsidRPr="00CC666F">
        <w:rPr>
          <w:lang w:val="en-US"/>
        </w:rPr>
        <w:t>Model GAMM1) assessing the effects of environmental factors on the spatial distribution of three swan speciesduring ice-covered and ice-free periods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09"/>
        <w:gridCol w:w="1080"/>
        <w:gridCol w:w="1300"/>
        <w:gridCol w:w="1418"/>
        <w:gridCol w:w="1686"/>
      </w:tblGrid>
      <w:tr w:rsidR="00A03335" w:rsidTr="00CC666F">
        <w:trPr>
          <w:tblHeader/>
          <w:jc w:val="center"/>
        </w:trPr>
        <w:tc>
          <w:tcPr>
            <w:tcW w:w="35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Smoother 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</w:t>
            </w:r>
          </w:p>
        </w:tc>
        <w:tc>
          <w:tcPr>
            <w:tcW w:w="13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ref.df</w:t>
            </w:r>
          </w:p>
        </w:tc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CC666F" w:rsidTr="00CC666F">
        <w:trPr>
          <w:jc w:val="center"/>
        </w:trPr>
        <w:tc>
          <w:tcPr>
            <w:tcW w:w="8993" w:type="dxa"/>
            <w:gridSpan w:val="5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666F" w:rsidRDefault="00CC66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s(Year)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s(Year):</w:t>
            </w:r>
            <w:r w:rsidR="00CC666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C.olor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.6</w:t>
            </w:r>
          </w:p>
        </w:tc>
        <w:tc>
          <w:tcPr>
            <w:tcW w:w="13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168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s(Year):</w:t>
            </w:r>
            <w:r w:rsidR="00CC666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C.cygnus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.7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110.9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s(Year):</w:t>
            </w:r>
            <w:r w:rsidR="00CC666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C.bewickii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.9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160.9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CC666F" w:rsidRPr="00CC666F" w:rsidTr="00CC666F">
        <w:trPr>
          <w:jc w:val="center"/>
        </w:trPr>
        <w:tc>
          <w:tcPr>
            <w:tcW w:w="899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666F" w:rsidRPr="00CC666F" w:rsidRDefault="00CC66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s(Dist, Depth) in Ice cover period</w:t>
            </w:r>
          </w:p>
        </w:tc>
      </w:tr>
      <w:tr w:rsidR="00A03335" w:rsidRPr="00CC666F" w:rsidTr="00CC666F">
        <w:trPr>
          <w:jc w:val="center"/>
        </w:trPr>
        <w:tc>
          <w:tcPr>
            <w:tcW w:w="35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C.olor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2</w:t>
            </w: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.0</w:t>
            </w:r>
          </w:p>
        </w:tc>
        <w:tc>
          <w:tcPr>
            <w:tcW w:w="13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2.0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4.5</w:t>
            </w:r>
          </w:p>
        </w:tc>
        <w:tc>
          <w:tcPr>
            <w:tcW w:w="168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0.107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C.cygnus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3</w:t>
            </w: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.7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4.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0.085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C.bewickii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0.470</w:t>
            </w:r>
          </w:p>
        </w:tc>
      </w:tr>
      <w:tr w:rsidR="00CC666F" w:rsidRPr="00CC666F" w:rsidTr="00CC666F">
        <w:trPr>
          <w:jc w:val="center"/>
        </w:trPr>
        <w:tc>
          <w:tcPr>
            <w:tcW w:w="899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666F" w:rsidRPr="00CC666F" w:rsidRDefault="00CC66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s(Dist, Depth) in Ice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free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period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C.olor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.4</w:t>
            </w:r>
          </w:p>
        </w:tc>
        <w:tc>
          <w:tcPr>
            <w:tcW w:w="130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100.8</w:t>
            </w:r>
          </w:p>
        </w:tc>
        <w:tc>
          <w:tcPr>
            <w:tcW w:w="168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C.cygnus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.5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120.3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C.bewickii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.4</w:t>
            </w:r>
          </w:p>
        </w:tc>
        <w:tc>
          <w:tcPr>
            <w:tcW w:w="13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184.1</w:t>
            </w:r>
          </w:p>
        </w:tc>
        <w:tc>
          <w:tcPr>
            <w:tcW w:w="168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CC666F">
        <w:trPr>
          <w:jc w:val="center"/>
        </w:trPr>
        <w:tc>
          <w:tcPr>
            <w:tcW w:w="3509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Random effect: </w:t>
            </w:r>
            <w:r w:rsidR="00313A6F">
              <w:rPr>
                <w:rFonts w:ascii="Arial" w:eastAsia="Arial" w:hAnsi="Arial" w:cs="Arial"/>
                <w:color w:val="000000"/>
                <w:sz w:val="22"/>
                <w:szCs w:val="22"/>
              </w:rPr>
              <w:t>s(Site)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225.5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</w:tbl>
    <w:p w:rsidR="00A03335" w:rsidRDefault="00313A6F" w:rsidP="00CC666F">
      <w:pPr>
        <w:ind w:firstLine="0"/>
      </w:pPr>
      <w:r>
        <w:br w:type="page"/>
      </w:r>
    </w:p>
    <w:p w:rsidR="00A03335" w:rsidRDefault="00313A6F">
      <w:r>
        <w:lastRenderedPageBreak/>
        <w:t>Может быть вовсе не приводить эти графики? В модели динамика численности останется, а визуализацию можно и не делать, если это никак в тексте не упоминается.</w:t>
      </w:r>
    </w:p>
    <w:p w:rsidR="00A03335" w:rsidRDefault="00313A6F">
      <w:r>
        <w:rPr>
          <w:noProof/>
          <w:lang w:eastAsia="ru-RU"/>
        </w:rPr>
        <w:drawing>
          <wp:inline distT="0" distB="0" distL="0" distR="0" wp14:anchorId="52E1F67C" wp14:editId="41B9E3D0">
            <wp:extent cx="3261815" cy="3603009"/>
            <wp:effectExtent l="0" t="0" r="0" b="0"/>
            <wp:docPr id="21" name="Picture" descr="SFig.++. Многолетние изменения численности трех видов лебедей, описанные с помощью модели GAMM1. Горизонтальная пунктирная линия отражает частный эффект равный среднему значению численности вида. Long-term changes in the abundance of three swan species described using the GAMM1 model. The horizontal dashed line reflects the partial effect corresponding to the mean species abundan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wans_niches_pictures_new_for_ESM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015" cy="362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335" w:rsidRPr="00CC666F" w:rsidRDefault="00313A6F">
      <w:pPr>
        <w:rPr>
          <w:lang w:val="en-US"/>
        </w:rPr>
      </w:pPr>
      <w:r>
        <w:t>SFig.++. Многолетние изменения численности трех видов лебедей, описанные с помощью модели GAMM1.</w:t>
      </w:r>
      <w:r>
        <w:t xml:space="preserve"> Горизонтальная пунктирная линия отражает частный эффект равный среднему значению численности вида. </w:t>
      </w:r>
      <w:r w:rsidRPr="00CC666F">
        <w:rPr>
          <w:lang w:val="en-US"/>
        </w:rPr>
        <w:t>Long-term changes in the abundance of three swan species described using the GAMM1 model. The horizontal dashed line reflects the partial effect correspondi</w:t>
      </w:r>
      <w:r w:rsidRPr="00CC666F">
        <w:rPr>
          <w:lang w:val="en-US"/>
        </w:rPr>
        <w:t>ng to the mean species abundance.</w:t>
      </w:r>
    </w:p>
    <w:p w:rsidR="00A03335" w:rsidRPr="00CC666F" w:rsidRDefault="00313A6F">
      <w:pPr>
        <w:rPr>
          <w:lang w:val="en-US"/>
        </w:rPr>
      </w:pPr>
      <w:r w:rsidRPr="00CC666F">
        <w:rPr>
          <w:lang w:val="en-US"/>
        </w:rPr>
        <w:br w:type="page"/>
      </w:r>
    </w:p>
    <w:p w:rsidR="00A03335" w:rsidRDefault="00313A6F">
      <w:pPr>
        <w:pStyle w:val="2"/>
      </w:pPr>
      <w:bookmarkStart w:id="2" w:name="X16c47df454a0f299a917a1cd3691145ac55cddf"/>
      <w:bookmarkEnd w:id="1"/>
      <w:r>
        <w:lastRenderedPageBreak/>
        <w:t>Модель, описывающая распределение численности выводков лебедя-шипуна (модель GAMM2)</w:t>
      </w:r>
    </w:p>
    <w:p w:rsidR="00A03335" w:rsidRPr="00CC666F" w:rsidRDefault="00313A6F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 w:firstLine="0"/>
        <w:jc w:val="center"/>
        <w:rPr>
          <w:lang w:val="en-US"/>
        </w:rPr>
      </w:pPr>
      <w:r>
        <w:t xml:space="preserve">STable ++. Результаты подгонки обобщенной аддитивной модели  (Модель GAMM2) для оценки влияния факторов на пространственное распределение выводков лебедя-шипуна. </w:t>
      </w:r>
      <w:r w:rsidRPr="00CC666F">
        <w:rPr>
          <w:lang w:val="en-US"/>
        </w:rPr>
        <w:t>Results of fitting a generalized additive mixed model (Model GAMM2) to assess the influence of</w:t>
      </w:r>
      <w:r w:rsidRPr="00CC666F">
        <w:rPr>
          <w:lang w:val="en-US"/>
        </w:rPr>
        <w:t xml:space="preserve"> factors on the spatial distribution of mute swan broods.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18"/>
        <w:gridCol w:w="1080"/>
        <w:gridCol w:w="1080"/>
        <w:gridCol w:w="1080"/>
        <w:gridCol w:w="1080"/>
      </w:tblGrid>
      <w:tr w:rsidR="00A03335" w:rsidTr="00CC666F">
        <w:trPr>
          <w:tblHeader/>
          <w:jc w:val="center"/>
        </w:trPr>
        <w:tc>
          <w:tcPr>
            <w:tcW w:w="42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Smoother 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CC666F" w:rsidTr="00232F5A">
        <w:trPr>
          <w:jc w:val="center"/>
        </w:trPr>
        <w:tc>
          <w:tcPr>
            <w:tcW w:w="8538" w:type="dxa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C666F" w:rsidRDefault="00CC666F" w:rsidP="00CC6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s(Year)</w:t>
            </w:r>
          </w:p>
        </w:tc>
      </w:tr>
      <w:tr w:rsidR="00A03335" w:rsidTr="00CC666F">
        <w:trPr>
          <w:jc w:val="center"/>
        </w:trPr>
        <w:tc>
          <w:tcPr>
            <w:tcW w:w="42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313A6F" w:rsidP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Cygnets</w:t>
            </w:r>
            <w:r w:rsid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="00703489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up to two weeks old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</w:t>
            </w:r>
          </w:p>
        </w:tc>
      </w:tr>
      <w:tr w:rsidR="00A03335" w:rsidTr="00703489">
        <w:trPr>
          <w:jc w:val="center"/>
        </w:trPr>
        <w:tc>
          <w:tcPr>
            <w:tcW w:w="42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703489" w:rsidP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Cygnets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older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two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month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0.415</w:t>
            </w:r>
          </w:p>
        </w:tc>
      </w:tr>
      <w:tr w:rsidR="00703489" w:rsidTr="00703489">
        <w:trPr>
          <w:jc w:val="center"/>
        </w:trPr>
        <w:tc>
          <w:tcPr>
            <w:tcW w:w="853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03489" w:rsidRDefault="00703489" w:rsidP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s(Dist,Depth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A03335" w:rsidTr="00703489">
        <w:trPr>
          <w:jc w:val="center"/>
        </w:trPr>
        <w:tc>
          <w:tcPr>
            <w:tcW w:w="42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Cygnets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up to two weeks old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7.9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101.4</w:t>
            </w:r>
          </w:p>
        </w:tc>
        <w:tc>
          <w:tcPr>
            <w:tcW w:w="10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703489">
        <w:trPr>
          <w:jc w:val="center"/>
        </w:trPr>
        <w:tc>
          <w:tcPr>
            <w:tcW w:w="42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Pr="00CC666F" w:rsidRDefault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</w:pPr>
            <w:r w:rsidRPr="00CC666F"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Cygnets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older two month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703489">
        <w:trPr>
          <w:jc w:val="center"/>
        </w:trPr>
        <w:tc>
          <w:tcPr>
            <w:tcW w:w="4218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Random effect: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="00313A6F">
              <w:rPr>
                <w:rFonts w:ascii="Arial" w:eastAsia="Arial" w:hAnsi="Arial" w:cs="Arial"/>
                <w:color w:val="000000"/>
                <w:sz w:val="22"/>
                <w:szCs w:val="22"/>
              </w:rPr>
              <w:t>s(Site)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326.4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</w:tbl>
    <w:p w:rsidR="00A03335" w:rsidRDefault="00313A6F">
      <w:r>
        <w:br w:type="page"/>
      </w:r>
    </w:p>
    <w:p w:rsidR="00A03335" w:rsidRDefault="00313A6F">
      <w:pPr>
        <w:pStyle w:val="2"/>
      </w:pPr>
      <w:bookmarkStart w:id="3" w:name="X39598049ccb94c253659dfa413794ef506a3b0b"/>
      <w:bookmarkEnd w:id="2"/>
      <w:r>
        <w:lastRenderedPageBreak/>
        <w:t>Модель пространственного распределения линяющийх особей лебедя-шипуна (Модель GAMM3)</w:t>
      </w:r>
    </w:p>
    <w:p w:rsidR="00A03335" w:rsidRPr="00CC666F" w:rsidRDefault="00313A6F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 w:firstLine="0"/>
        <w:jc w:val="center"/>
        <w:rPr>
          <w:lang w:val="en-US"/>
        </w:rPr>
      </w:pPr>
      <w:r>
        <w:t xml:space="preserve">STable ++. Результаты подгонки обобщенной аддитивной модели  (Модель GAMM3), описывающей влияния факторов на пространственное распределение линяющих особей лебедя-шипуна. </w:t>
      </w:r>
      <w:r w:rsidRPr="00CC666F">
        <w:rPr>
          <w:lang w:val="en-US"/>
        </w:rPr>
        <w:t>Results of fitting a generalized additive mixed model (GAMM3) describing the influenc</w:t>
      </w:r>
      <w:r w:rsidRPr="00CC666F">
        <w:rPr>
          <w:lang w:val="en-US"/>
        </w:rPr>
        <w:t>e of factors on the spatial distribution of molting mute swans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41"/>
        <w:gridCol w:w="1080"/>
        <w:gridCol w:w="1080"/>
        <w:gridCol w:w="1080"/>
        <w:gridCol w:w="1080"/>
      </w:tblGrid>
      <w:tr w:rsidR="00A03335" w:rsidTr="00703489">
        <w:trPr>
          <w:tblHeader/>
          <w:jc w:val="center"/>
        </w:trPr>
        <w:tc>
          <w:tcPr>
            <w:tcW w:w="29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Smoother 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A03335" w:rsidTr="00703489">
        <w:trPr>
          <w:jc w:val="center"/>
        </w:trPr>
        <w:tc>
          <w:tcPr>
            <w:tcW w:w="29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0.512</w:t>
            </w:r>
          </w:p>
        </w:tc>
      </w:tr>
      <w:tr w:rsidR="00A03335" w:rsidTr="00703489">
        <w:trPr>
          <w:jc w:val="center"/>
        </w:trPr>
        <w:tc>
          <w:tcPr>
            <w:tcW w:w="2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s(Dist,Depth)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A03335" w:rsidTr="00703489">
        <w:trPr>
          <w:jc w:val="center"/>
        </w:trPr>
        <w:tc>
          <w:tcPr>
            <w:tcW w:w="29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7034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>Random effect: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bookmarkStart w:id="4" w:name="_GoBack"/>
            <w:bookmarkEnd w:id="4"/>
            <w:r w:rsidR="00313A6F">
              <w:rPr>
                <w:rFonts w:ascii="Arial" w:eastAsia="Arial" w:hAnsi="Arial" w:cs="Arial"/>
                <w:color w:val="000000"/>
                <w:sz w:val="22"/>
                <w:szCs w:val="22"/>
              </w:rPr>
              <w:t>s(Site)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03335" w:rsidRDefault="00313A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 w:firstLine="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bookmarkEnd w:id="0"/>
      <w:bookmarkEnd w:id="3"/>
    </w:tbl>
    <w:p w:rsidR="00313A6F" w:rsidRDefault="00313A6F"/>
    <w:sectPr w:rsidR="00313A6F">
      <w:footerReference w:type="even" r:id="rId8"/>
      <w:footerReference w:type="default" r:id="rId9"/>
      <w:pgSz w:w="12242" w:h="15842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A6F" w:rsidRDefault="00313A6F">
      <w:pPr>
        <w:spacing w:after="0" w:line="240" w:lineRule="auto"/>
      </w:pPr>
      <w:r>
        <w:separator/>
      </w:r>
    </w:p>
  </w:endnote>
  <w:endnote w:type="continuationSeparator" w:id="0">
    <w:p w:rsidR="00313A6F" w:rsidRDefault="0031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335" w:rsidRDefault="00313A6F">
    <w:pPr>
      <w:pStyle w:val="af7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03335" w:rsidRDefault="00A03335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0544075"/>
    </w:sdtPr>
    <w:sdtEndPr/>
    <w:sdtContent>
      <w:p w:rsidR="00A03335" w:rsidRDefault="00313A6F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489">
          <w:rPr>
            <w:noProof/>
          </w:rPr>
          <w:t>1</w:t>
        </w:r>
        <w:r>
          <w:fldChar w:fldCharType="end"/>
        </w:r>
      </w:p>
    </w:sdtContent>
  </w:sdt>
  <w:p w:rsidR="00A03335" w:rsidRDefault="00A03335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A6F" w:rsidRDefault="00313A6F">
      <w:pPr>
        <w:spacing w:after="0" w:line="240" w:lineRule="auto"/>
      </w:pPr>
      <w:r>
        <w:separator/>
      </w:r>
    </w:p>
  </w:footnote>
  <w:footnote w:type="continuationSeparator" w:id="0">
    <w:p w:rsidR="00313A6F" w:rsidRDefault="00313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D9AF4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35"/>
    <w:rsid w:val="00313A6F"/>
    <w:rsid w:val="00703489"/>
    <w:rsid w:val="00A03335"/>
    <w:rsid w:val="00CC666F"/>
    <w:rsid w:val="2B8C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8D7D7"/>
  <w15:docId w15:val="{FCB0CE16-C4B9-4680-860C-C43C25F8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480" w:lineRule="auto"/>
      <w:ind w:firstLine="567"/>
      <w:jc w:val="both"/>
    </w:pPr>
    <w:rPr>
      <w:rFonts w:eastAsia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pPr>
      <w:keepNext/>
      <w:ind w:firstLine="0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qFormat/>
    <w:pPr>
      <w:keepNext/>
      <w:widowControl w:val="0"/>
      <w:autoSpaceDE w:val="0"/>
      <w:autoSpaceDN w:val="0"/>
      <w:adjustRightInd w:val="0"/>
      <w:spacing w:before="240" w:after="60"/>
      <w:jc w:val="left"/>
      <w:outlineLvl w:val="1"/>
    </w:pPr>
    <w:rPr>
      <w:rFonts w:cs="Cambria"/>
      <w:bCs/>
      <w:i/>
      <w:iCs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60"/>
      <w:jc w:val="left"/>
      <w:outlineLvl w:val="2"/>
    </w:pPr>
    <w:rPr>
      <w:rFonts w:cs="Arial"/>
      <w:bCs/>
      <w:i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ind w:firstLine="0"/>
      <w:outlineLvl w:val="3"/>
    </w:pPr>
    <w:rPr>
      <w:b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footnote reference"/>
    <w:basedOn w:val="a0"/>
    <w:semiHidden/>
    <w:qFormat/>
    <w:rPr>
      <w:vertAlign w:val="superscript"/>
    </w:rPr>
  </w:style>
  <w:style w:type="character" w:styleId="a5">
    <w:name w:val="Emphasis"/>
    <w:basedOn w:val="a0"/>
    <w:qFormat/>
    <w:rPr>
      <w:b/>
      <w:bCs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a7">
    <w:name w:val="page number"/>
    <w:basedOn w:val="a0"/>
    <w:qFormat/>
  </w:style>
  <w:style w:type="character" w:styleId="a8">
    <w:name w:val="line number"/>
    <w:basedOn w:val="a0"/>
    <w:uiPriority w:val="99"/>
    <w:semiHidden/>
    <w:unhideWhenUsed/>
  </w:style>
  <w:style w:type="character" w:styleId="a9">
    <w:name w:val="Strong"/>
    <w:basedOn w:val="a0"/>
    <w:qFormat/>
    <w:rPr>
      <w:b/>
      <w:bCs/>
    </w:rPr>
  </w:style>
  <w:style w:type="paragraph" w:styleId="aa">
    <w:name w:val="Balloon Text"/>
    <w:basedOn w:val="a"/>
    <w:link w:val="ab"/>
    <w:semiHidden/>
    <w:qFormat/>
    <w:pPr>
      <w:widowControl w:val="0"/>
      <w:autoSpaceDE w:val="0"/>
      <w:autoSpaceDN w:val="0"/>
      <w:adjustRightInd w:val="0"/>
    </w:pPr>
    <w:rPr>
      <w:sz w:val="0"/>
      <w:szCs w:val="0"/>
    </w:rPr>
  </w:style>
  <w:style w:type="paragraph" w:styleId="21">
    <w:name w:val="Body Text 2"/>
    <w:basedOn w:val="a"/>
    <w:qFormat/>
    <w:pPr>
      <w:spacing w:after="240"/>
      <w:ind w:firstLine="0"/>
    </w:pPr>
    <w:rPr>
      <w:sz w:val="28"/>
    </w:rPr>
  </w:style>
  <w:style w:type="paragraph" w:styleId="ac">
    <w:name w:val="Plain Text"/>
    <w:basedOn w:val="a"/>
    <w:qFormat/>
    <w:pPr>
      <w:ind w:firstLine="0"/>
    </w:pPr>
    <w:rPr>
      <w:rFonts w:ascii="Courier New" w:hAnsi="Courier New"/>
      <w:sz w:val="20"/>
    </w:rPr>
  </w:style>
  <w:style w:type="paragraph" w:styleId="30">
    <w:name w:val="Body Text Indent 3"/>
    <w:basedOn w:val="a"/>
    <w:qFormat/>
    <w:pPr>
      <w:ind w:left="283"/>
    </w:pPr>
    <w:rPr>
      <w:sz w:val="16"/>
      <w:szCs w:val="16"/>
    </w:rPr>
  </w:style>
  <w:style w:type="paragraph" w:styleId="ad">
    <w:name w:val="footnote text"/>
    <w:basedOn w:val="a"/>
    <w:link w:val="ae"/>
    <w:semiHidden/>
    <w:qFormat/>
    <w:pPr>
      <w:ind w:firstLine="0"/>
    </w:pPr>
    <w:rPr>
      <w:sz w:val="20"/>
    </w:rPr>
  </w:style>
  <w:style w:type="paragraph" w:styleId="af">
    <w:name w:val="header"/>
    <w:basedOn w:val="a"/>
    <w:link w:val="af0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Body Text"/>
    <w:basedOn w:val="a"/>
    <w:link w:val="af2"/>
  </w:style>
  <w:style w:type="paragraph" w:styleId="af3">
    <w:name w:val="Body Text Indent"/>
    <w:basedOn w:val="a"/>
    <w:link w:val="af4"/>
    <w:qFormat/>
    <w:pPr>
      <w:ind w:left="283" w:firstLine="0"/>
    </w:pPr>
  </w:style>
  <w:style w:type="paragraph" w:styleId="af5">
    <w:name w:val="Title"/>
    <w:basedOn w:val="1"/>
    <w:link w:val="af6"/>
    <w:qFormat/>
  </w:style>
  <w:style w:type="paragraph" w:styleId="af7">
    <w:name w:val="footer"/>
    <w:basedOn w:val="a"/>
    <w:link w:val="af8"/>
    <w:uiPriority w:val="99"/>
    <w:qFormat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Courier New" w:hAnsi="Courier New" w:cs="Courier New"/>
    </w:rPr>
  </w:style>
  <w:style w:type="paragraph" w:styleId="af9">
    <w:name w:val="Normal (Web)"/>
    <w:basedOn w:val="a"/>
    <w:pPr>
      <w:spacing w:before="100" w:beforeAutospacing="1" w:after="100" w:afterAutospacing="1"/>
      <w:ind w:firstLine="0"/>
    </w:pPr>
    <w:rPr>
      <w:rFonts w:ascii="Arial Unicode MS" w:eastAsia="Arial Unicode MS" w:hAnsi="Arial Unicode MS" w:cs="Arial Unicode MS"/>
    </w:rPr>
  </w:style>
  <w:style w:type="paragraph" w:styleId="31">
    <w:name w:val="Body Text 3"/>
    <w:basedOn w:val="a"/>
    <w:qFormat/>
    <w:rPr>
      <w:sz w:val="16"/>
      <w:szCs w:val="16"/>
    </w:rPr>
  </w:style>
  <w:style w:type="paragraph" w:styleId="22">
    <w:name w:val="Body Text Indent 2"/>
    <w:basedOn w:val="a"/>
    <w:link w:val="23"/>
    <w:pPr>
      <w:ind w:left="283"/>
    </w:pPr>
  </w:style>
  <w:style w:type="table" w:styleId="afa">
    <w:name w:val="Table Grid"/>
    <w:basedOn w:val="a1"/>
    <w:qFormat/>
    <w:rPr>
      <w:rFonts w:ascii="Arial" w:eastAsia="Times New Roman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pPr>
        <w:jc w:val="left"/>
      </w:pPr>
    </w:tblStylePr>
  </w:style>
  <w:style w:type="character" w:customStyle="1" w:styleId="20">
    <w:name w:val="Заголовок 2 Знак"/>
    <w:basedOn w:val="a0"/>
    <w:link w:val="2"/>
    <w:qFormat/>
    <w:locked/>
    <w:rPr>
      <w:rFonts w:ascii="Arial" w:eastAsia="Times New Roman" w:hAnsi="Arial" w:cs="Cambria"/>
      <w:bCs/>
      <w:i/>
      <w:iCs/>
      <w:sz w:val="32"/>
      <w:szCs w:val="28"/>
    </w:rPr>
  </w:style>
  <w:style w:type="character" w:customStyle="1" w:styleId="10">
    <w:name w:val="Заголовок 1 Знак"/>
    <w:basedOn w:val="a0"/>
    <w:link w:val="1"/>
    <w:qFormat/>
    <w:rPr>
      <w:rFonts w:ascii="Arial" w:eastAsia="Times New Roman" w:hAnsi="Arial" w:cs="Arial"/>
      <w:b/>
      <w:sz w:val="32"/>
      <w:szCs w:val="32"/>
    </w:rPr>
  </w:style>
  <w:style w:type="paragraph" w:customStyle="1" w:styleId="24">
    <w:name w:val="Дерюгин 2"/>
    <w:basedOn w:val="a"/>
    <w:qFormat/>
    <w:rPr>
      <w:b/>
    </w:rPr>
  </w:style>
  <w:style w:type="character" w:customStyle="1" w:styleId="23">
    <w:name w:val="Основной текст с отступом 2 Знак"/>
    <w:basedOn w:val="a0"/>
    <w:link w:val="22"/>
    <w:semiHidden/>
    <w:qFormat/>
    <w:rPr>
      <w:sz w:val="24"/>
      <w:lang w:val="ru-RU" w:eastAsia="ru-RU" w:bidi="ar-SA"/>
    </w:rPr>
  </w:style>
  <w:style w:type="character" w:customStyle="1" w:styleId="af4">
    <w:name w:val="Основной текст с отступом Знак"/>
    <w:basedOn w:val="a0"/>
    <w:link w:val="af3"/>
    <w:semiHidden/>
    <w:rPr>
      <w:sz w:val="24"/>
      <w:szCs w:val="24"/>
      <w:lang w:val="ru-RU" w:eastAsia="ru-RU" w:bidi="ar-SA"/>
    </w:rPr>
  </w:style>
  <w:style w:type="character" w:customStyle="1" w:styleId="af2">
    <w:name w:val="Основной текст Знак"/>
    <w:basedOn w:val="a0"/>
    <w:link w:val="af1"/>
    <w:rPr>
      <w:rFonts w:eastAsia="Times New Roman"/>
      <w:sz w:val="24"/>
      <w:szCs w:val="24"/>
    </w:rPr>
  </w:style>
  <w:style w:type="character" w:customStyle="1" w:styleId="Heading2Char">
    <w:name w:val="Heading 2 Char"/>
    <w:basedOn w:val="a0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f8">
    <w:name w:val="Нижний колонтитул Знак"/>
    <w:basedOn w:val="a0"/>
    <w:link w:val="af7"/>
    <w:uiPriority w:val="99"/>
    <w:qFormat/>
    <w:locked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FooterChar">
    <w:name w:val="Footer Char"/>
    <w:basedOn w:val="a0"/>
    <w:semiHidden/>
    <w:qFormat/>
    <w:rPr>
      <w:rFonts w:ascii="Courier New" w:hAnsi="Courier New" w:cs="Courier New"/>
      <w:sz w:val="24"/>
      <w:szCs w:val="24"/>
    </w:rPr>
  </w:style>
  <w:style w:type="character" w:customStyle="1" w:styleId="af0">
    <w:name w:val="Верхний колонтитул Знак"/>
    <w:basedOn w:val="a0"/>
    <w:link w:val="af"/>
    <w:semiHidden/>
    <w:qFormat/>
    <w:rPr>
      <w:rFonts w:ascii="Courier New" w:hAnsi="Courier New" w:cs="Courier New"/>
      <w:sz w:val="24"/>
      <w:szCs w:val="24"/>
      <w:lang w:val="ru-RU" w:eastAsia="ru-RU" w:bidi="ar-SA"/>
    </w:rPr>
  </w:style>
  <w:style w:type="character" w:customStyle="1" w:styleId="ab">
    <w:name w:val="Текст выноски Знак"/>
    <w:basedOn w:val="a0"/>
    <w:link w:val="aa"/>
    <w:semiHidden/>
    <w:qFormat/>
    <w:rPr>
      <w:sz w:val="0"/>
      <w:szCs w:val="0"/>
      <w:lang w:val="ru-RU" w:eastAsia="ru-RU" w:bidi="ar-SA"/>
    </w:rPr>
  </w:style>
  <w:style w:type="character" w:customStyle="1" w:styleId="40">
    <w:name w:val="Знак4"/>
    <w:basedOn w:val="a0"/>
    <w:qFormat/>
    <w:locked/>
    <w:rPr>
      <w:sz w:val="28"/>
      <w:szCs w:val="28"/>
    </w:rPr>
  </w:style>
  <w:style w:type="character" w:customStyle="1" w:styleId="32">
    <w:name w:val="Знак3"/>
    <w:basedOn w:val="a0"/>
    <w:locked/>
    <w:rPr>
      <w:rFonts w:ascii="Courier New" w:hAnsi="Courier New" w:cs="Courier New"/>
      <w:sz w:val="24"/>
      <w:szCs w:val="24"/>
    </w:rPr>
  </w:style>
  <w:style w:type="character" w:customStyle="1" w:styleId="25">
    <w:name w:val="Знак2"/>
    <w:basedOn w:val="a0"/>
    <w:semiHidden/>
    <w:locked/>
    <w:rPr>
      <w:rFonts w:ascii="Courier New" w:hAnsi="Courier New" w:cs="Courier New"/>
      <w:sz w:val="24"/>
      <w:szCs w:val="24"/>
    </w:rPr>
  </w:style>
  <w:style w:type="character" w:customStyle="1" w:styleId="9">
    <w:name w:val="Знак9"/>
    <w:basedOn w:val="a0"/>
    <w:qFormat/>
    <w:locked/>
    <w:rPr>
      <w:b/>
      <w:bCs/>
    </w:rPr>
  </w:style>
  <w:style w:type="character" w:customStyle="1" w:styleId="ae">
    <w:name w:val="Текст сноски Знак"/>
    <w:basedOn w:val="a0"/>
    <w:link w:val="ad"/>
    <w:semiHidden/>
    <w:locked/>
    <w:rPr>
      <w:lang w:val="ru-RU" w:eastAsia="ru-RU" w:bidi="ar-SA"/>
    </w:rPr>
  </w:style>
  <w:style w:type="character" w:customStyle="1" w:styleId="FootnoteTextChar">
    <w:name w:val="Footnote Text Char"/>
    <w:basedOn w:val="a0"/>
    <w:semiHidden/>
    <w:rPr>
      <w:rFonts w:ascii="Courier New" w:hAnsi="Courier New" w:cs="Courier New"/>
      <w:sz w:val="20"/>
      <w:szCs w:val="20"/>
    </w:rPr>
  </w:style>
  <w:style w:type="character" w:customStyle="1" w:styleId="af6">
    <w:name w:val="Заголовок Знак"/>
    <w:basedOn w:val="a0"/>
    <w:link w:val="af5"/>
    <w:qFormat/>
    <w:locked/>
    <w:rPr>
      <w:rFonts w:ascii="Arial" w:eastAsia="Times New Roman" w:hAnsi="Arial"/>
      <w:sz w:val="36"/>
    </w:rPr>
  </w:style>
  <w:style w:type="character" w:customStyle="1" w:styleId="TitleChar">
    <w:name w:val="Title Char"/>
    <w:basedOn w:val="a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spelle">
    <w:name w:val="spelle"/>
    <w:basedOn w:val="a0"/>
  </w:style>
  <w:style w:type="character" w:customStyle="1" w:styleId="grame">
    <w:name w:val="grame"/>
    <w:basedOn w:val="a0"/>
    <w:qFormat/>
  </w:style>
  <w:style w:type="character" w:customStyle="1" w:styleId="ref-journal">
    <w:name w:val="ref-journal"/>
    <w:basedOn w:val="a0"/>
    <w:qFormat/>
  </w:style>
  <w:style w:type="character" w:customStyle="1" w:styleId="ref-vol">
    <w:name w:val="ref-vol"/>
    <w:basedOn w:val="a0"/>
    <w:qFormat/>
  </w:style>
  <w:style w:type="paragraph" w:customStyle="1" w:styleId="11">
    <w:name w:val="Стиль1"/>
    <w:basedOn w:val="a"/>
    <w:qFormat/>
    <w:pPr>
      <w:tabs>
        <w:tab w:val="left" w:pos="420"/>
        <w:tab w:val="left" w:pos="900"/>
      </w:tabs>
      <w:ind w:firstLine="0"/>
    </w:pPr>
    <w:rPr>
      <w:bCs/>
    </w:rPr>
  </w:style>
  <w:style w:type="paragraph" w:customStyle="1" w:styleId="HTMLPreformatted1">
    <w:name w:val="HTML Preformatted1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Courier New" w:hAnsi="Courier New"/>
      <w:sz w:val="20"/>
      <w:lang w:val="en-US"/>
    </w:rPr>
  </w:style>
  <w:style w:type="paragraph" w:customStyle="1" w:styleId="afb">
    <w:name w:val="Табл. текст"/>
    <w:basedOn w:val="a"/>
    <w:next w:val="4"/>
    <w:qFormat/>
    <w:pPr>
      <w:ind w:firstLine="0"/>
      <w:jc w:val="center"/>
    </w:pPr>
    <w:rPr>
      <w:snapToGrid w:val="0"/>
    </w:rPr>
  </w:style>
  <w:style w:type="paragraph" w:customStyle="1" w:styleId="afc">
    <w:name w:val="Таблица_текст"/>
    <w:basedOn w:val="a"/>
    <w:qFormat/>
    <w:pPr>
      <w:ind w:firstLine="0"/>
      <w:jc w:val="center"/>
    </w:pPr>
    <w:rPr>
      <w:kern w:val="24"/>
    </w:rPr>
  </w:style>
  <w:style w:type="paragraph" w:customStyle="1" w:styleId="071">
    <w:name w:val="Стиль Табл. текст + Первая строка:  07 см1"/>
    <w:basedOn w:val="afb"/>
    <w:qFormat/>
    <w:rPr>
      <w:szCs w:val="20"/>
    </w:rPr>
  </w:style>
  <w:style w:type="paragraph" w:customStyle="1" w:styleId="afd">
    <w:name w:val="текст без отступа"/>
    <w:basedOn w:val="a"/>
    <w:next w:val="ac"/>
    <w:qFormat/>
    <w:pPr>
      <w:spacing w:line="312" w:lineRule="auto"/>
      <w:ind w:firstLine="0"/>
    </w:pPr>
    <w:rPr>
      <w:sz w:val="28"/>
    </w:rPr>
  </w:style>
  <w:style w:type="paragraph" w:customStyle="1" w:styleId="210">
    <w:name w:val="Основной текст 21"/>
    <w:basedOn w:val="a"/>
    <w:qFormat/>
    <w:pPr>
      <w:widowControl w:val="0"/>
      <w:overflowPunct w:val="0"/>
      <w:autoSpaceDE w:val="0"/>
      <w:autoSpaceDN w:val="0"/>
      <w:adjustRightInd w:val="0"/>
      <w:ind w:firstLine="0"/>
      <w:textAlignment w:val="baseline"/>
    </w:pPr>
    <w:rPr>
      <w:b/>
    </w:rPr>
  </w:style>
  <w:style w:type="paragraph" w:customStyle="1" w:styleId="Derugintitle">
    <w:name w:val="Derugin_title"/>
    <w:basedOn w:val="a"/>
    <w:qFormat/>
    <w:pPr>
      <w:jc w:val="center"/>
    </w:pPr>
    <w:rPr>
      <w:sz w:val="36"/>
    </w:rPr>
  </w:style>
  <w:style w:type="character" w:customStyle="1" w:styleId="Arial16">
    <w:name w:val="Стиль Arial 16 пт"/>
    <w:basedOn w:val="a0"/>
    <w:qFormat/>
    <w:rPr>
      <w:rFonts w:ascii="Arial" w:hAnsi="Arial"/>
      <w:sz w:val="32"/>
    </w:rPr>
  </w:style>
  <w:style w:type="table" w:styleId="afe">
    <w:name w:val="Light Shading"/>
    <w:basedOn w:val="a1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ourceCode">
    <w:name w:val="Source Code"/>
    <w:qFormat/>
    <w:pPr>
      <w:shd w:val="clear" w:color="auto" w:fill="F8F8F8"/>
      <w:wordWrap w:val="0"/>
      <w:spacing w:after="160" w:line="480" w:lineRule="auto"/>
    </w:pPr>
    <w:rPr>
      <w:lang w:eastAsia="en-US"/>
    </w:rPr>
  </w:style>
  <w:style w:type="character" w:customStyle="1" w:styleId="KeywordTok">
    <w:name w:val="KeywordTok"/>
    <w:qFormat/>
    <w:rPr>
      <w:b/>
      <w:color w:val="204A87"/>
      <w:shd w:val="clear" w:color="auto" w:fill="F8F8F8"/>
    </w:rPr>
  </w:style>
  <w:style w:type="character" w:customStyle="1" w:styleId="DataTypeTok">
    <w:name w:val="DataTypeTok"/>
    <w:qFormat/>
    <w:rPr>
      <w:color w:val="204A87"/>
      <w:shd w:val="clear" w:color="auto" w:fill="F8F8F8"/>
    </w:rPr>
  </w:style>
  <w:style w:type="character" w:customStyle="1" w:styleId="DecValTok">
    <w:name w:val="DecValTok"/>
    <w:qFormat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qFormat/>
    <w:rPr>
      <w:color w:val="0000CF"/>
      <w:shd w:val="clear" w:color="auto" w:fill="F8F8F8"/>
    </w:rPr>
  </w:style>
  <w:style w:type="character" w:customStyle="1" w:styleId="ConstantTok">
    <w:name w:val="ConstantTok"/>
    <w:qFormat/>
    <w:rPr>
      <w:color w:val="000000"/>
      <w:shd w:val="clear" w:color="auto" w:fill="F8F8F8"/>
    </w:rPr>
  </w:style>
  <w:style w:type="character" w:customStyle="1" w:styleId="CharTok">
    <w:name w:val="CharTok"/>
    <w:qFormat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qFormat/>
    <w:rPr>
      <w:color w:val="4E9A06"/>
      <w:shd w:val="clear" w:color="auto" w:fill="F8F8F8"/>
    </w:rPr>
  </w:style>
  <w:style w:type="character" w:customStyle="1" w:styleId="VerbatimStringTok">
    <w:name w:val="VerbatimStringTok"/>
    <w:qFormat/>
    <w:rPr>
      <w:color w:val="4E9A06"/>
      <w:shd w:val="clear" w:color="auto" w:fill="F8F8F8"/>
    </w:rPr>
  </w:style>
  <w:style w:type="character" w:customStyle="1" w:styleId="SpecialStringTok">
    <w:name w:val="SpecialStringTok"/>
    <w:qFormat/>
    <w:rPr>
      <w:color w:val="4E9A06"/>
      <w:shd w:val="clear" w:color="auto" w:fill="F8F8F8"/>
    </w:rPr>
  </w:style>
  <w:style w:type="character" w:customStyle="1" w:styleId="ImportTok">
    <w:name w:val="ImportTok"/>
    <w:qFormat/>
    <w:rPr>
      <w:shd w:val="clear" w:color="auto" w:fill="F8F8F8"/>
    </w:rPr>
  </w:style>
  <w:style w:type="character" w:customStyle="1" w:styleId="CommentTok">
    <w:name w:val="CommentTok"/>
    <w:qFormat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qFormat/>
    <w:rPr>
      <w:b/>
      <w:i/>
      <w:color w:val="8F5902"/>
      <w:shd w:val="clear" w:color="auto" w:fill="F8F8F8"/>
    </w:rPr>
  </w:style>
  <w:style w:type="character" w:customStyle="1" w:styleId="CommentVarTok">
    <w:name w:val="CommentVarTok"/>
    <w:qFormat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qFormat/>
    <w:rPr>
      <w:color w:val="000000"/>
      <w:shd w:val="clear" w:color="auto" w:fill="F8F8F8"/>
    </w:rPr>
  </w:style>
  <w:style w:type="character" w:customStyle="1" w:styleId="ControlFlowTok">
    <w:name w:val="ControlFlowTok"/>
    <w:qFormat/>
    <w:rPr>
      <w:b/>
      <w:color w:val="204A87"/>
      <w:shd w:val="clear" w:color="auto" w:fill="F8F8F8"/>
    </w:rPr>
  </w:style>
  <w:style w:type="character" w:customStyle="1" w:styleId="OperatorTok">
    <w:name w:val="OperatorTok"/>
    <w:qFormat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qFormat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qFormat/>
    <w:rPr>
      <w:color w:val="C4A000"/>
      <w:shd w:val="clear" w:color="auto" w:fill="F8F8F8"/>
    </w:rPr>
  </w:style>
  <w:style w:type="character" w:customStyle="1" w:styleId="RegionMarkerTok">
    <w:name w:val="RegionMarkerTok"/>
    <w:qFormat/>
    <w:rPr>
      <w:shd w:val="clear" w:color="auto" w:fill="F8F8F8"/>
    </w:rPr>
  </w:style>
  <w:style w:type="character" w:customStyle="1" w:styleId="InformationTok">
    <w:name w:val="InformationTok"/>
    <w:qFormat/>
    <w:rPr>
      <w:b/>
      <w:i/>
      <w:color w:val="8F5902"/>
      <w:shd w:val="clear" w:color="auto" w:fill="F8F8F8"/>
    </w:rPr>
  </w:style>
  <w:style w:type="character" w:customStyle="1" w:styleId="WarningTok">
    <w:name w:val="WarningTok"/>
    <w:qFormat/>
    <w:rPr>
      <w:b/>
      <w:i/>
      <w:color w:val="8F5902"/>
      <w:shd w:val="clear" w:color="auto" w:fill="F8F8F8"/>
    </w:rPr>
  </w:style>
  <w:style w:type="character" w:customStyle="1" w:styleId="AlertTok">
    <w:name w:val="AlertTok"/>
    <w:qFormat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2026-04-10T12:16:00Z</dcterms:created>
  <dcterms:modified xsi:type="dcterms:W3CDTF">2026-04-10T12:30:00Z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