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размерная-структура"/>
    <w:p>
      <w:pPr>
        <w:pStyle w:val="Heading2"/>
      </w:pPr>
      <w:r>
        <w:t xml:space="preserve">Размерная структура</w:t>
      </w:r>
    </w:p>
    <w:p>
      <w:pPr>
        <w:pStyle w:val="FirstParagraph"/>
      </w:pPr>
      <w:r>
        <w:t xml:space="preserve">Вот средине и размах варьирования по каждому году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</w:t>
            </w:r>
          </w:p>
        </w:tc>
      </w:tr>
    </w:tbl>
    <w:p>
      <w:pPr>
        <w:pStyle w:val="BodyText"/>
      </w:pPr>
      <w:r>
        <w:t xml:space="preserve">По всему материалу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</w:t>
            </w:r>
          </w:p>
        </w:tc>
      </w:tr>
    </w:tbl>
    <w:p>
      <w:pPr>
        <w:pStyle w:val="BodyText"/>
      </w:pPr>
      <w:r>
        <w:t xml:space="preserve">Модель для описания многолетней и сезонной динамики размеров</w:t>
      </w:r>
    </w:p>
    <w:p>
      <w:pPr>
        <w:pStyle w:val="SourceCode"/>
      </w:pPr>
      <w:r>
        <w:rPr>
          <w:rStyle w:val="NormalTok"/>
        </w:rPr>
        <w:t xml:space="preserve">Model_L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(DOY,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gadus)</w:t>
      </w:r>
    </w:p>
    <w:p>
      <w:pPr>
        <w:pStyle w:val="FirstParagraph"/>
      </w:pPr>
      <w:r>
        <w:t xml:space="preserve">Вот результаты подбора этой модели.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50" w:name="общее-описание-рациона"/>
    <w:p>
      <w:pPr>
        <w:pStyle w:val="Heading1"/>
      </w:pPr>
      <w:r>
        <w:t xml:space="preserve">Общее описание рациона</w:t>
      </w:r>
    </w:p>
    <w:bookmarkStart w:id="24" w:name="таблица-с-характеристиками-питания"/>
    <w:p>
      <w:pPr>
        <w:pStyle w:val="Heading2"/>
      </w:pPr>
      <w:r>
        <w:t xml:space="preserve">Таблица с характеристиками питания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86"/>
        <w:gridCol w:w="1450"/>
        <w:gridCol w:w="214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proportion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Nereidinae (Nereis pelagica + Alitta virens)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Anonyx nugax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Crustacea remains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Eualus gaimardii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Hyas araneus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Mysidacea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Pandalus montagui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Paroediceros propinguus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Pagurus pubescens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Rhachotropis 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Sclerocrangon boreas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Sabinea septemcarinata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Ophiopholis 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Ophiura robusta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Ekmania barthii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Agonus cataphractus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Cyclopterus lumpus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Clupea pallasii 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15.28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Gasterosteus 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Limanda limanda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Lumpenus sp.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</w:t>
            </w:r>
          </w:p>
        </w:tc>
      </w:tr>
      <w:tr>
        <w:trPr>
          <w:trHeight w:val="6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Myoxocephalus scorpuis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Mallotus villosus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Pholis gunnelus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572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 remains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</w:tbl>
    <w:p>
      <w:pPr>
        <w:pStyle w:val="FirstParagraph"/>
      </w:pPr>
      <w:r>
        <w:t xml:space="preserve">Таблица с описанием долей для отдельных групп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1"/>
        <w:gridCol w:w="1450"/>
        <w:gridCol w:w="214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proportion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Polychaeta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Crustacea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Ophiuroidea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Holothuroidea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Pisces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82.54</w:t>
            </w:r>
          </w:p>
        </w:tc>
      </w:tr>
    </w:tbl>
    <w:bookmarkEnd w:id="24"/>
    <w:bookmarkStart w:id="28" w:name="динамика-пустых-желудков"/>
    <w:p>
      <w:pPr>
        <w:pStyle w:val="Heading2"/>
      </w:pPr>
      <w:r>
        <w:t xml:space="preserve">Динамика пустых желудков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Chi.sq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2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8b172372db1449ccca8e4af9cf632c34c24aec1"/>
    <w:p>
      <w:pPr>
        <w:pStyle w:val="Heading2"/>
      </w:pPr>
      <w:r>
        <w:t xml:space="preserve">Динамика веса пищевого комка в заполненных желудках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3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42" w:name="динамика-встречаемости-пищевых-объектов"/>
    <w:p>
      <w:pPr>
        <w:pStyle w:val="Heading2"/>
      </w:pPr>
      <w:r>
        <w:t xml:space="preserve">Динамика встречаемости пищевых объектов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Chi.sq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s(Year):SpeciesG.aculeatus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s(Year):SpeciesC.pallasii 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s(Year):SpeciesFish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s(Year):SpeciesA.virens + N.pelagica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s(DOY):SpeciesG.aculeatus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s(DOY):SpeciesC.pallasii 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s(DOY):SpeciesFish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s(DOY):SpeciesA.virens + N.pelagica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s(L):SpeciesG.aculeatus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s(L):SpeciesC.pallasii 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s(L):SpeciesFish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s(L):SpeciesA.virens + N.pelagica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43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4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4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динамика-весовой-доли"/>
    <w:p>
      <w:pPr>
        <w:pStyle w:val="Heading2"/>
      </w:pPr>
      <w:r>
        <w:t xml:space="preserve">Динамика весовой доли</w:t>
      </w:r>
    </w:p>
    <w:p>
      <w:pPr>
        <w:pStyle w:val="FirstParagraph"/>
      </w:pPr>
      <w:r>
        <w:t xml:space="preserve">(At!) Для каждого вида корма была найдена сумма его веса за каждый день и отнесена к сумме весов всех пищевых комков, отловленных в каждый из дней.</w:t>
      </w:r>
      <w:r>
        <w:t xml:space="preserve"> </w:t>
      </w:r>
      <w:r>
        <w:t xml:space="preserve">Подобрать модель, в которой не нарушались бы условия применимости регрессионного анализа на этом материале не удается. Поэтому просто приводятся первичные данные. Для отражения общего направления динамики приведена линия тренда, подобранная методом</w:t>
      </w:r>
      <w:r>
        <w:t xml:space="preserve"> </w:t>
      </w:r>
      <w:r>
        <w:t xml:space="preserve">“loess”</w:t>
      </w:r>
      <w:r>
        <w:t xml:space="preserve">. Поскольку строго статистического анализа не проводилось, то доверительные интервалы не приводятся.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46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Аналогично для многолетних изменений</w:t>
      </w:r>
    </w:p>
    <w:p>
      <w:pPr>
        <w:pStyle w:val="BodyText"/>
      </w:pPr>
      <w:r>
        <w:t xml:space="preserve">(At!) Для каждого вида корма была найдена сумма его веса за каждый год и отнесена к сумме весов всех пищевых комков, отловленных в каждый год.</w:t>
      </w:r>
      <w:r>
        <w:t xml:space="preserve"> </w:t>
      </w:r>
      <w:r>
        <w:t xml:space="preserve">Подобрать модель, в которой не нарушались бы условия применимости регрессионного анализа на этом материале тоже не удается. Поэтому просто приводятся первичные данные. Для отражения общего направления динамики приведена линия тренда, подобранная методом</w:t>
      </w:r>
      <w:r>
        <w:t xml:space="preserve"> </w:t>
      </w:r>
      <w:r>
        <w:t xml:space="preserve">“loess”</w:t>
      </w:r>
      <w:r>
        <w:t xml:space="preserve">. Поскольку строго статистического анализа не проводилось, то доверительные интервалы не приводятся.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Gadus_long_term_dynamics_11_files/figure-docx/unnamed-chunk-4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2026-01-20T09:50:52Z</dcterms:created>
  <dcterms:modified xsi:type="dcterms:W3CDTF">2026-01-20T09:50:52Z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