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6AD84">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Н.Е. Зарецкая, А.А. Вашков, О.С. Шилова, В.М. Хайтов</w:t>
      </w:r>
      <w:r>
        <w:rPr>
          <w:rFonts w:ascii="Times New Roman" w:hAnsi="Times New Roman" w:cs="Times New Roman"/>
          <w:bCs/>
          <w:sz w:val="24"/>
          <w:szCs w:val="24"/>
          <w:highlight w:val="darkGreen"/>
        </w:rPr>
        <w:t>,</w:t>
      </w:r>
      <w:r>
        <w:rPr>
          <w:rFonts w:hint="default" w:ascii="Times New Roman" w:hAnsi="Times New Roman" w:cs="Times New Roman"/>
          <w:bCs/>
          <w:sz w:val="24"/>
          <w:szCs w:val="24"/>
          <w:highlight w:val="darkGreen"/>
          <w:lang w:val="en-US"/>
        </w:rPr>
        <w:t xml:space="preserve"> </w:t>
      </w:r>
      <w:r>
        <w:rPr>
          <w:rFonts w:hint="default" w:ascii="Times New Roman" w:hAnsi="Times New Roman" w:cs="Times New Roman"/>
          <w:bCs/>
          <w:sz w:val="24"/>
          <w:szCs w:val="24"/>
          <w:highlight w:val="darkGreen"/>
          <w:lang w:val="ru-RU"/>
        </w:rPr>
        <w:t>К. В. Башилов, М. П. Бутаковская,</w:t>
      </w:r>
      <w:r>
        <w:rPr>
          <w:rFonts w:ascii="Times New Roman" w:hAnsi="Times New Roman" w:cs="Times New Roman"/>
          <w:bCs/>
          <w:sz w:val="24"/>
          <w:szCs w:val="24"/>
        </w:rPr>
        <w:t xml:space="preserve"> Н.Н. Луговой, Т.Ю. Репкина</w:t>
      </w:r>
    </w:p>
    <w:p w14:paraId="4B2B5361">
      <w:pPr>
        <w:spacing w:after="0" w:line="240" w:lineRule="auto"/>
        <w:jc w:val="both"/>
        <w:rPr>
          <w:rFonts w:ascii="Times New Roman" w:hAnsi="Times New Roman" w:cs="Times New Roman"/>
          <w:sz w:val="24"/>
          <w:szCs w:val="24"/>
        </w:rPr>
      </w:pPr>
    </w:p>
    <w:p w14:paraId="582A9371">
      <w:pPr>
        <w:spacing w:after="0" w:line="240" w:lineRule="auto"/>
        <w:jc w:val="both"/>
        <w:rPr>
          <w:rFonts w:ascii="Times New Roman" w:hAnsi="Times New Roman" w:cs="Times New Roman"/>
          <w:b/>
          <w:bCs/>
          <w:sz w:val="24"/>
          <w:szCs w:val="24"/>
        </w:rPr>
      </w:pPr>
      <w:commentRangeStart w:id="0"/>
      <w:commentRangeStart w:id="1"/>
      <w:r>
        <w:rPr>
          <w:rFonts w:ascii="Times New Roman" w:hAnsi="Times New Roman" w:cs="Times New Roman"/>
          <w:b/>
          <w:bCs/>
          <w:sz w:val="24"/>
          <w:szCs w:val="24"/>
        </w:rPr>
        <w:t xml:space="preserve">«От озера к морю и обратно»: </w:t>
      </w:r>
      <w:commentRangeEnd w:id="0"/>
      <w:r>
        <w:rPr>
          <w:rStyle w:val="4"/>
        </w:rPr>
        <w:commentReference w:id="0"/>
      </w:r>
      <w:commentRangeEnd w:id="1"/>
      <w:r>
        <w:rPr>
          <w:rStyle w:val="4"/>
        </w:rPr>
        <w:commentReference w:id="1"/>
      </w:r>
      <w:r>
        <w:rPr>
          <w:rFonts w:ascii="Times New Roman" w:hAnsi="Times New Roman" w:cs="Times New Roman"/>
          <w:b/>
          <w:bCs/>
          <w:sz w:val="24"/>
          <w:szCs w:val="24"/>
        </w:rPr>
        <w:t xml:space="preserve">соотношение флювиогляциальных и морских образований позднеледниковья-голоцена Кандалакшского берега Белого моря </w:t>
      </w:r>
    </w:p>
    <w:p w14:paraId="746742C5">
      <w:pPr>
        <w:spacing w:after="0" w:line="240" w:lineRule="auto"/>
        <w:jc w:val="both"/>
        <w:rPr>
          <w:rFonts w:ascii="Times New Roman" w:hAnsi="Times New Roman" w:cs="Times New Roman"/>
          <w:bCs/>
          <w:sz w:val="24"/>
          <w:szCs w:val="24"/>
        </w:rPr>
      </w:pPr>
    </w:p>
    <w:p w14:paraId="38796EE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Представлены результаты палеогеографических исследований в пределах Колвицкой ложбины (юго-запад Кольского полуострова). К комплексу флювиогляциальных и лимногляциальных образований, сформированному во время деградации последнего ледникового покрова около 14.1–12.2 тыс. л.н., прислонена морская терраса, верхний возрастной предел которой фиксируется мидиевой банкой, по которой получена дата 9.4 тыс. кал. л.н. Данные диатомового и малакофаунистического анализов демонстрируют переход от </w:t>
      </w:r>
      <w:r>
        <w:rPr>
          <w:rFonts w:ascii="Times New Roman" w:hAnsi="Times New Roman" w:cs="Times New Roman"/>
          <w:sz w:val="24"/>
          <w:szCs w:val="24"/>
          <w:shd w:val="clear" w:color="auto" w:fill="FFFFFF"/>
        </w:rPr>
        <w:t xml:space="preserve">сильно опресненного ледовитого морского бассейна к более глубоководному морскому, а затем к более тёплой литоральной обстановке осадконакопления во время регрессии моря. Постепенный переход от </w:t>
      </w:r>
      <w:r>
        <w:rPr>
          <w:rFonts w:ascii="Times New Roman" w:hAnsi="Times New Roman" w:cs="Times New Roman"/>
          <w:sz w:val="24"/>
          <w:szCs w:val="24"/>
        </w:rPr>
        <w:t>морского к пресноводному осадконакоплению</w:t>
      </w:r>
      <w:r>
        <w:rPr>
          <w:rFonts w:ascii="Times New Roman" w:hAnsi="Times New Roman" w:cs="Times New Roman"/>
          <w:sz w:val="24"/>
          <w:szCs w:val="24"/>
          <w:shd w:val="clear" w:color="auto" w:fill="FFFFFF"/>
        </w:rPr>
        <w:t xml:space="preserve"> в начале среднего голоцена фиксируется</w:t>
      </w:r>
      <w:r>
        <w:rPr>
          <w:rFonts w:ascii="Times New Roman" w:hAnsi="Times New Roman" w:cs="Times New Roman"/>
          <w:sz w:val="24"/>
          <w:szCs w:val="24"/>
        </w:rPr>
        <w:t xml:space="preserve"> и в</w:t>
      </w:r>
      <w:r>
        <w:rPr>
          <w:rFonts w:ascii="Times New Roman" w:hAnsi="Times New Roman" w:cs="Times New Roman"/>
          <w:sz w:val="24"/>
          <w:szCs w:val="24"/>
          <w:shd w:val="clear" w:color="auto" w:fill="FFFFFF"/>
        </w:rPr>
        <w:t xml:space="preserve"> донных отложениях небольшого озера, расположенного в гляциокарстовой котловине, </w:t>
      </w:r>
      <w:r>
        <w:rPr>
          <w:rFonts w:ascii="Times New Roman" w:hAnsi="Times New Roman" w:cs="Times New Roman"/>
          <w:sz w:val="24"/>
          <w:szCs w:val="24"/>
        </w:rPr>
        <w:t>что явилось откликом на региональную морскую регрессию в первой половине голоцена.</w:t>
      </w:r>
    </w:p>
    <w:p w14:paraId="25A0B7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1ABFDE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ВВЕДЕНИЕ</w:t>
      </w:r>
    </w:p>
    <w:p w14:paraId="5E37F89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Деградация последнего Скандинавского оледенения и последующее развитие природной среды и ландшафтов продолжает вызывать большой интерес среди исследователей в связи с необходимостью определения направленности современных климатических изменений и связанных с ними глобальных рисков. В последнее время такие работы ведутся расширенным комплексом методов, которые отличает повышенная детализация. Наиболее интересны подобные исследования на территориях с сочетанием нескольких разнородных природных обстановок. Один из таких участков на северо-западе России – южное и юго-западное побережье Кольского полуострова (Кандалакшский берег Белого моря). Характерный ландшафт ледниковой области последнего оледенения здесь сочетается с крупными выступами пород кристаллического фундамента в виде низких гор. Также территория отличается большой амплитудой гляциоизостатического поднятия, в результате чего здесь можно проследить последовательные фазы позднеледниковых и голоценовых трансгрессий Белого моря, а также последующую изоляцию отдельных частей моря и их трансформацию в озёра на разных высотных уровнях. Сочетание отложений ледникового парагенетического ряда, морских и озёрных осадков является перспективными палеоархивами. Информация из них позволяет реконструировать как обстановки осадконакопления и их хронологию, соотношение форм рельефа разного генезиса и особенности палеогеографических остановок в недавнем геологическом прошлом.  </w:t>
      </w:r>
    </w:p>
    <w:p w14:paraId="244937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Одним из ключевых участков Кандалакшского берега Белого моря является Колвицкая ложбина, которая представляет собой понижение рельефа поверхности кристаллического фундамента между выступами Колвицких тундр (на юге) и Домашних и Елка тундр (на севере). В настоящее время наиболее низкую часть ложбины наследует долина р. Колвицы, по которой осуществляется сток из оз. Колвицкого в Белое море (</w:t>
      </w:r>
      <w:r>
        <w:rPr>
          <w:rFonts w:ascii="Times New Roman" w:hAnsi="Times New Roman" w:cs="Times New Roman"/>
          <w:sz w:val="24"/>
          <w:szCs w:val="24"/>
          <w:highlight w:val="green"/>
        </w:rPr>
        <w:t>Рис. 1</w:t>
      </w:r>
      <w:r>
        <w:rPr>
          <w:rFonts w:ascii="Times New Roman" w:hAnsi="Times New Roman" w:cs="Times New Roman"/>
          <w:sz w:val="24"/>
          <w:szCs w:val="24"/>
        </w:rPr>
        <w:t xml:space="preserve">). Колвицкая ложбина простирается на 25 км от Колвицкой губы Белого моря с отметками примерно 70 м ниже уровня моря до оз. Колвицкого с отметками поверхности 55–70 м над уровнем моря. Ширина ложбины в западной части около 1.5 км, а в восточной части она расширяется примерно до 9 км. Северный и южный борта ложбины прилегают к склонам низких гор условно по изолинии 130 м н.у.м. </w:t>
      </w:r>
    </w:p>
    <w:p w14:paraId="27F2CB2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Традиционно территория Колвицкой ложбины входила в область продвижения последнего ледникового покрова в фазу активизации в позднем дриасе (</w:t>
      </w:r>
      <w:r>
        <w:rPr>
          <w:rFonts w:ascii="Times New Roman" w:hAnsi="Times New Roman" w:cs="Times New Roman"/>
          <w:sz w:val="24"/>
          <w:szCs w:val="24"/>
          <w:highlight w:val="cyan"/>
          <w:lang w:val="en-US"/>
        </w:rPr>
        <w:t>Ekman</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Ilyin</w:t>
      </w:r>
      <w:r>
        <w:rPr>
          <w:rFonts w:ascii="Times New Roman" w:hAnsi="Times New Roman" w:cs="Times New Roman"/>
          <w:sz w:val="24"/>
          <w:szCs w:val="24"/>
          <w:highlight w:val="cyan"/>
        </w:rPr>
        <w:t xml:space="preserve">, 1991; </w:t>
      </w:r>
      <w:r>
        <w:rPr>
          <w:rFonts w:ascii="Times New Roman" w:hAnsi="Times New Roman" w:cs="Times New Roman"/>
          <w:sz w:val="24"/>
          <w:szCs w:val="24"/>
          <w:highlight w:val="cyan"/>
          <w:lang w:val="en-US"/>
        </w:rPr>
        <w:t>Rainio</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1995; Евзеров, Николаева, 2000; </w:t>
      </w:r>
      <w:r>
        <w:rPr>
          <w:rFonts w:ascii="Times New Roman" w:hAnsi="Times New Roman" w:cs="Times New Roman"/>
          <w:sz w:val="24"/>
          <w:szCs w:val="24"/>
          <w:highlight w:val="cyan"/>
          <w:lang w:val="en-US"/>
        </w:rPr>
        <w:t>Kolka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2008; </w:t>
      </w:r>
      <w:r>
        <w:rPr>
          <w:rFonts w:ascii="Times New Roman" w:hAnsi="Times New Roman" w:cs="Times New Roman"/>
          <w:sz w:val="24"/>
          <w:szCs w:val="24"/>
          <w:highlight w:val="cyan"/>
          <w:lang w:val="en-US"/>
        </w:rPr>
        <w:t>Astakhov</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2016; </w:t>
      </w:r>
      <w:r>
        <w:rPr>
          <w:rFonts w:ascii="Times New Roman" w:hAnsi="Times New Roman" w:cs="Times New Roman"/>
          <w:sz w:val="24"/>
          <w:szCs w:val="24"/>
          <w:highlight w:val="cyan"/>
          <w:lang w:val="en-US"/>
        </w:rPr>
        <w:t>Boyes</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2021</w:t>
      </w:r>
      <w:r>
        <w:rPr>
          <w:rFonts w:ascii="Times New Roman" w:hAnsi="Times New Roman" w:cs="Times New Roman"/>
          <w:sz w:val="24"/>
          <w:szCs w:val="24"/>
        </w:rPr>
        <w:t>). В то же время в ряде работ отмечается, что территория между озерами Колвицкое и Имандра освобождалась ото льда и частично заполнялась водами приледниково-морского бассейна в потеплении аллерёд (</w:t>
      </w:r>
      <w:r>
        <w:rPr>
          <w:rFonts w:ascii="Times New Roman" w:hAnsi="Times New Roman" w:cs="Times New Roman"/>
          <w:sz w:val="24"/>
          <w:szCs w:val="24"/>
          <w:highlight w:val="cyan"/>
        </w:rPr>
        <w:t xml:space="preserve">Толстоброва и др., 2016; </w:t>
      </w:r>
      <w:r>
        <w:rPr>
          <w:rFonts w:ascii="Times New Roman" w:hAnsi="Times New Roman" w:cs="Times New Roman"/>
          <w:sz w:val="24"/>
          <w:szCs w:val="24"/>
          <w:highlight w:val="cyan"/>
          <w:lang w:val="en-US"/>
        </w:rPr>
        <w:t>Korsakova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xml:space="preserve">, 2020; </w:t>
      </w:r>
      <w:r>
        <w:rPr>
          <w:rFonts w:ascii="Times New Roman" w:hAnsi="Times New Roman" w:cs="Times New Roman"/>
          <w:sz w:val="24"/>
          <w:szCs w:val="24"/>
          <w:highlight w:val="cyan"/>
          <w:lang w:val="en-US"/>
        </w:rPr>
        <w:t>Lenz</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2021</w:t>
      </w:r>
      <w:r>
        <w:rPr>
          <w:rFonts w:ascii="Times New Roman" w:hAnsi="Times New Roman" w:cs="Times New Roman"/>
          <w:sz w:val="24"/>
          <w:szCs w:val="24"/>
        </w:rPr>
        <w:t>). В связи с этим в последнее время произведены попытки пересмотреть масштаб продвижения ледникового покрова в позднем дриасе. Предполагается, что в то время в Колвицкой ложбине существовал ледниковый язык, который продвигался с запада на восток и мог достигать территории современного оз. Колвицкое (</w:t>
      </w:r>
      <w:r>
        <w:rPr>
          <w:rFonts w:ascii="Times New Roman" w:hAnsi="Times New Roman" w:cs="Times New Roman"/>
          <w:sz w:val="24"/>
          <w:szCs w:val="24"/>
          <w:highlight w:val="cyan"/>
          <w:lang w:val="en-GB"/>
        </w:rPr>
        <w:t>Korsakova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al</w:t>
      </w:r>
      <w:r>
        <w:rPr>
          <w:rFonts w:ascii="Times New Roman" w:hAnsi="Times New Roman" w:cs="Times New Roman"/>
          <w:sz w:val="24"/>
          <w:szCs w:val="24"/>
          <w:highlight w:val="cyan"/>
        </w:rPr>
        <w:t>., 2023; Вашков и др., 2024</w:t>
      </w:r>
      <w:r>
        <w:rPr>
          <w:rFonts w:ascii="Times New Roman" w:hAnsi="Times New Roman" w:cs="Times New Roman"/>
          <w:sz w:val="24"/>
          <w:szCs w:val="24"/>
        </w:rPr>
        <w:t>), которое в тот момент и во время последующей дегляциации являлось заливом траснгрессировавшего Белого моря (</w:t>
      </w:r>
      <w:r>
        <w:rPr>
          <w:rFonts w:ascii="Times New Roman" w:hAnsi="Times New Roman" w:cs="Times New Roman"/>
          <w:sz w:val="24"/>
          <w:szCs w:val="24"/>
          <w:highlight w:val="cyan"/>
        </w:rPr>
        <w:t>Лудикова, Греков, 2017</w:t>
      </w:r>
      <w:r>
        <w:rPr>
          <w:rFonts w:ascii="Times New Roman" w:hAnsi="Times New Roman" w:cs="Times New Roman"/>
          <w:sz w:val="24"/>
          <w:szCs w:val="24"/>
        </w:rPr>
        <w:t>). Дегляциация ледникового языка в Колвицкой ложбине сопровождалась стоком талых ледниковых вод в восточном направлении по системе так называемого Колвицкого оза – цепи хорошо выраженных в рельефе гряд и холмисто-западинного рельефа общей протяженностью  около 10 км (</w:t>
      </w:r>
      <w:r>
        <w:rPr>
          <w:rFonts w:ascii="Times New Roman" w:hAnsi="Times New Roman" w:cs="Times New Roman"/>
          <w:sz w:val="24"/>
          <w:szCs w:val="24"/>
          <w:highlight w:val="cyan"/>
        </w:rPr>
        <w:t xml:space="preserve">Евзеров, Кошечкин, 1980; </w:t>
      </w:r>
      <w:r>
        <w:rPr>
          <w:rFonts w:ascii="Times New Roman" w:hAnsi="Times New Roman" w:cs="Times New Roman"/>
          <w:sz w:val="24"/>
          <w:szCs w:val="24"/>
          <w:highlight w:val="cyan"/>
          <w:lang w:val="en-US"/>
        </w:rPr>
        <w:t>Kolka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2008;</w:t>
      </w:r>
      <w:r>
        <w:rPr>
          <w:rFonts w:ascii="Times New Roman" w:hAnsi="Times New Roman" w:cs="Times New Roman"/>
          <w:sz w:val="24"/>
          <w:szCs w:val="24"/>
        </w:rPr>
        <w:t xml:space="preserve"> </w:t>
      </w:r>
      <w:commentRangeStart w:id="2"/>
      <w:commentRangeStart w:id="3"/>
      <w:r>
        <w:rPr>
          <w:rFonts w:ascii="Times New Roman" w:hAnsi="Times New Roman" w:cs="Times New Roman"/>
          <w:sz w:val="24"/>
          <w:szCs w:val="24"/>
        </w:rPr>
        <w:t>Корсакова и др., 2024</w:t>
      </w:r>
      <w:commentRangeEnd w:id="2"/>
      <w:r>
        <w:rPr>
          <w:rStyle w:val="4"/>
        </w:rPr>
        <w:commentReference w:id="2"/>
      </w:r>
      <w:commentRangeEnd w:id="3"/>
      <w:r>
        <w:rPr>
          <w:rStyle w:val="4"/>
        </w:rPr>
        <w:commentReference w:id="3"/>
      </w:r>
      <w:r>
        <w:rPr>
          <w:rFonts w:ascii="Times New Roman" w:hAnsi="Times New Roman" w:cs="Times New Roman"/>
          <w:sz w:val="24"/>
          <w:szCs w:val="24"/>
        </w:rPr>
        <w:t xml:space="preserve">).  </w:t>
      </w:r>
    </w:p>
    <w:p w14:paraId="2869358C">
      <w:pPr>
        <w:spacing w:after="0" w:line="240" w:lineRule="auto"/>
        <w:ind w:firstLine="709"/>
        <w:jc w:val="both"/>
        <w:rPr>
          <w:rFonts w:ascii="Times New Roman" w:hAnsi="Times New Roman" w:cs="Times New Roman"/>
          <w:sz w:val="24"/>
          <w:szCs w:val="24"/>
        </w:rPr>
      </w:pPr>
    </w:p>
    <w:p w14:paraId="6737F82D">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МАТЕРИАЛЫ И МЕТОДЫ</w:t>
      </w:r>
    </w:p>
    <w:p w14:paraId="6938B8A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Полевые исследования проводились в 2022–23</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 xml:space="preserve">и </w:t>
      </w:r>
      <w:r>
        <w:rPr>
          <w:rFonts w:hint="default" w:ascii="Times New Roman" w:hAnsi="Times New Roman" w:cs="Times New Roman"/>
          <w:sz w:val="24"/>
          <w:szCs w:val="24"/>
          <w:highlight w:val="darkGreen"/>
          <w:lang w:val="ru-RU"/>
        </w:rPr>
        <w:t>2024-2025 (описание морских отложений)</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годах, и включали маршрутное обследование комплексов ледниковых и морских образований в пределах Колвицкой ложбины, литостратиграфическое изучение разрезов рыхлых отложений, и отбор образцов для проведения литологического, малакофаунистического и диатомового анализов, а также для проведения радиоуглеродного и оптико-люминесцентного (ОСЛ) датирования. Для отбора донных отложений из озёр проводилось их бурение с плота буром </w:t>
      </w:r>
      <w:r>
        <w:rPr>
          <w:rFonts w:ascii="Times New Roman" w:hAnsi="Times New Roman" w:cs="Times New Roman"/>
          <w:sz w:val="24"/>
          <w:szCs w:val="24"/>
          <w:lang w:val="en-GB"/>
        </w:rPr>
        <w:t>Eijkelcamp</w:t>
      </w:r>
      <w:r>
        <w:rPr>
          <w:rFonts w:ascii="Times New Roman" w:hAnsi="Times New Roman" w:cs="Times New Roman"/>
          <w:sz w:val="24"/>
          <w:szCs w:val="24"/>
        </w:rPr>
        <w:t>. Высотная привязка форм рельефа и осадочных толщ проводилась с помощью ГНСС-ровера, а при построении цифровой модели рельефа использовались результаты БПЛА-съёмки (</w:t>
      </w:r>
      <w:r>
        <w:rPr>
          <w:rFonts w:ascii="Times New Roman" w:hAnsi="Times New Roman" w:cs="Times New Roman"/>
          <w:sz w:val="24"/>
          <w:szCs w:val="24"/>
          <w:highlight w:val="yellow"/>
        </w:rPr>
        <w:t>Коля, напиши тут правильно</w:t>
      </w:r>
      <w:r>
        <w:rPr>
          <w:rFonts w:ascii="Times New Roman" w:hAnsi="Times New Roman" w:cs="Times New Roman"/>
          <w:sz w:val="24"/>
          <w:szCs w:val="24"/>
        </w:rPr>
        <w:t xml:space="preserve">).  </w:t>
      </w:r>
    </w:p>
    <w:p w14:paraId="34C4CFC5">
      <w:pPr>
        <w:spacing w:after="0" w:line="240" w:lineRule="auto"/>
        <w:jc w:val="center"/>
      </w:pPr>
      <w:r>
        <w:rPr>
          <w:lang w:eastAsia="ru-RU"/>
        </w:rPr>
        <w:drawing>
          <wp:inline distT="0" distB="0" distL="0" distR="0">
            <wp:extent cx="4159250" cy="26015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159250" cy="2601595"/>
                    </a:xfrm>
                    <a:prstGeom prst="rect">
                      <a:avLst/>
                    </a:prstGeom>
                    <a:noFill/>
                    <a:ln>
                      <a:noFill/>
                    </a:ln>
                  </pic:spPr>
                </pic:pic>
              </a:graphicData>
            </a:graphic>
          </wp:inline>
        </w:drawing>
      </w:r>
    </w:p>
    <w:p w14:paraId="7D638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eastAsia="Times New Roman" w:cs="Times New Roman"/>
          <w:color w:val="000000"/>
          <w:lang w:eastAsia="ru-RU"/>
        </w:rPr>
      </w:pPr>
      <w:commentRangeStart w:id="4"/>
      <w:r>
        <w:rPr>
          <w:rFonts w:ascii="Times New Roman" w:hAnsi="Times New Roman" w:eastAsia="Times New Roman" w:cs="Times New Roman"/>
          <w:color w:val="000000"/>
          <w:lang w:eastAsia="ru-RU"/>
        </w:rPr>
        <w:t xml:space="preserve">Рис. 1. </w:t>
      </w:r>
      <w:commentRangeEnd w:id="4"/>
      <w:r>
        <w:rPr>
          <w:rStyle w:val="4"/>
        </w:rPr>
        <w:commentReference w:id="4"/>
      </w:r>
      <w:r>
        <w:rPr>
          <w:rFonts w:ascii="Times New Roman" w:hAnsi="Times New Roman" w:eastAsia="Times New Roman" w:cs="Times New Roman"/>
          <w:color w:val="000000"/>
          <w:lang w:eastAsia="ru-RU"/>
        </w:rPr>
        <w:t xml:space="preserve">Положение Колвицкой ложбины и объектов полевых наблюдений. </w:t>
      </w:r>
    </w:p>
    <w:p w14:paraId="6E7342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Условные знаки: 1 </w:t>
      </w:r>
      <w:r>
        <w:rPr>
          <w:rFonts w:ascii="Times New Roman" w:hAnsi="Times New Roman" w:cs="Times New Roman"/>
        </w:rPr>
        <w:t>–</w:t>
      </w:r>
      <w:r>
        <w:rPr>
          <w:rFonts w:ascii="Times New Roman" w:hAnsi="Times New Roman" w:eastAsia="Times New Roman" w:cs="Times New Roman"/>
          <w:color w:val="000000"/>
          <w:lang w:eastAsia="ru-RU"/>
        </w:rPr>
        <w:t xml:space="preserve"> условные границы Колвицкой ложбины; 2 </w:t>
      </w:r>
      <w:r>
        <w:rPr>
          <w:rFonts w:ascii="Times New Roman" w:hAnsi="Times New Roman" w:cs="Times New Roman"/>
        </w:rPr>
        <w:t>–</w:t>
      </w:r>
      <w:r>
        <w:rPr>
          <w:rFonts w:ascii="Times New Roman" w:hAnsi="Times New Roman" w:eastAsia="Times New Roman" w:cs="Times New Roman"/>
          <w:color w:val="000000"/>
          <w:lang w:eastAsia="ru-RU"/>
        </w:rPr>
        <w:t xml:space="preserve"> комплексы флювиогляциального рельефа; 3 </w:t>
      </w:r>
      <w:r>
        <w:rPr>
          <w:rFonts w:ascii="Times New Roman" w:hAnsi="Times New Roman" w:cs="Times New Roman"/>
        </w:rPr>
        <w:t>–</w:t>
      </w:r>
      <w:r>
        <w:rPr>
          <w:rFonts w:ascii="Times New Roman" w:hAnsi="Times New Roman" w:eastAsia="Times New Roman" w:cs="Times New Roman"/>
          <w:color w:val="000000"/>
          <w:lang w:eastAsia="ru-RU"/>
        </w:rPr>
        <w:t xml:space="preserve"> моренные гряды; 4 </w:t>
      </w:r>
      <w:r>
        <w:rPr>
          <w:rFonts w:ascii="Times New Roman" w:hAnsi="Times New Roman" w:cs="Times New Roman"/>
        </w:rPr>
        <w:t>–</w:t>
      </w:r>
      <w:r>
        <w:rPr>
          <w:rFonts w:ascii="Times New Roman" w:hAnsi="Times New Roman" w:eastAsia="Times New Roman" w:cs="Times New Roman"/>
          <w:color w:val="000000"/>
          <w:lang w:eastAsia="ru-RU"/>
        </w:rPr>
        <w:t xml:space="preserve"> точки наблюдения: обнажение в приустьевой части р. Колвица (1), карьер </w:t>
      </w:r>
      <w:r>
        <w:rPr>
          <w:rFonts w:ascii="Times New Roman" w:hAnsi="Times New Roman" w:cs="Times New Roman"/>
        </w:rPr>
        <w:t>в 4 км к востоку от устья р. Колвица</w:t>
      </w:r>
      <w:r>
        <w:rPr>
          <w:rFonts w:ascii="Times New Roman" w:hAnsi="Times New Roman" w:eastAsia="Times New Roman" w:cs="Times New Roman"/>
          <w:color w:val="000000"/>
          <w:lang w:eastAsia="ru-RU"/>
        </w:rPr>
        <w:t xml:space="preserve"> (2), карьер у оз. Выдра-Ламбина (3); 5 </w:t>
      </w:r>
      <w:r>
        <w:rPr>
          <w:rFonts w:ascii="Times New Roman" w:hAnsi="Times New Roman" w:cs="Times New Roman"/>
        </w:rPr>
        <w:t>–</w:t>
      </w:r>
      <w:r>
        <w:rPr>
          <w:rFonts w:ascii="Times New Roman" w:hAnsi="Times New Roman" w:eastAsia="Times New Roman" w:cs="Times New Roman"/>
          <w:color w:val="000000"/>
          <w:lang w:eastAsia="ru-RU"/>
        </w:rPr>
        <w:t xml:space="preserve"> пункты исследования донных осадков озер.</w:t>
      </w:r>
    </w:p>
    <w:p w14:paraId="13EF699E">
      <w:pPr>
        <w:spacing w:after="0" w:line="240" w:lineRule="auto"/>
        <w:ind w:firstLine="709"/>
        <w:jc w:val="both"/>
        <w:rPr>
          <w:rFonts w:ascii="Times New Roman" w:hAnsi="Times New Roman" w:cs="Times New Roman"/>
          <w:sz w:val="24"/>
          <w:szCs w:val="24"/>
        </w:rPr>
      </w:pPr>
    </w:p>
    <w:p w14:paraId="4010C47F">
      <w:pPr>
        <w:tabs>
          <w:tab w:val="left" w:pos="8789"/>
        </w:tabs>
        <w:spacing w:after="0" w:line="240" w:lineRule="auto"/>
        <w:ind w:firstLine="709"/>
        <w:jc w:val="both"/>
        <w:rPr>
          <w:rFonts w:ascii="Times New Roman" w:hAnsi="Times New Roman"/>
          <w:sz w:val="24"/>
          <w:szCs w:val="24"/>
        </w:rPr>
      </w:pPr>
      <w:r>
        <w:rPr>
          <w:rFonts w:ascii="Times New Roman" w:hAnsi="Times New Roman"/>
          <w:sz w:val="24"/>
          <w:szCs w:val="24"/>
          <w:lang w:val="be-BY"/>
        </w:rPr>
        <w:t xml:space="preserve">В ходе работ в Колвицкой ложбине было обследовано 11 разрезов (карьеры, береговые уступы, придорожные выемки) ледниковых, водно-ледниковых и морских отложений (см. </w:t>
      </w:r>
      <w:r>
        <w:rPr>
          <w:rFonts w:ascii="Times New Roman" w:hAnsi="Times New Roman"/>
          <w:sz w:val="24"/>
          <w:szCs w:val="24"/>
          <w:highlight w:val="green"/>
          <w:lang w:val="be-BY"/>
        </w:rPr>
        <w:t>рис. 1</w:t>
      </w:r>
      <w:r>
        <w:rPr>
          <w:rFonts w:ascii="Times New Roman" w:hAnsi="Times New Roman"/>
          <w:sz w:val="24"/>
          <w:szCs w:val="24"/>
          <w:lang w:val="be-BY"/>
        </w:rPr>
        <w:t xml:space="preserve">). </w:t>
      </w:r>
      <w:r>
        <w:rPr>
          <w:rFonts w:ascii="Times New Roman" w:hAnsi="Times New Roman"/>
          <w:sz w:val="24"/>
          <w:szCs w:val="24"/>
        </w:rPr>
        <w:t xml:space="preserve">Производилось определение структурных и текстурных характеристик выделенных в разрезах разностей осадков, а  цвет отложений определялся при помощи колориметрической системы </w:t>
      </w:r>
      <w:r>
        <w:rPr>
          <w:rFonts w:ascii="Times New Roman" w:hAnsi="Times New Roman"/>
          <w:i/>
          <w:sz w:val="24"/>
          <w:szCs w:val="24"/>
          <w:lang w:val="en-US"/>
        </w:rPr>
        <w:t>Munsell</w:t>
      </w:r>
      <w:r>
        <w:rPr>
          <w:rFonts w:ascii="Times New Roman" w:hAnsi="Times New Roman"/>
          <w:i/>
          <w:sz w:val="24"/>
          <w:szCs w:val="24"/>
        </w:rPr>
        <w:t xml:space="preserve"> </w:t>
      </w:r>
      <w:r>
        <w:rPr>
          <w:rFonts w:ascii="Times New Roman" w:hAnsi="Times New Roman"/>
          <w:i/>
          <w:sz w:val="24"/>
          <w:szCs w:val="24"/>
          <w:lang w:val="en-US"/>
        </w:rPr>
        <w:t>Soil</w:t>
      </w:r>
      <w:r>
        <w:rPr>
          <w:rFonts w:ascii="Times New Roman" w:hAnsi="Times New Roman"/>
          <w:i/>
          <w:sz w:val="24"/>
          <w:szCs w:val="24"/>
        </w:rPr>
        <w:t xml:space="preserve"> </w:t>
      </w:r>
      <w:r>
        <w:rPr>
          <w:rFonts w:ascii="Times New Roman" w:hAnsi="Times New Roman"/>
          <w:i/>
          <w:sz w:val="24"/>
          <w:szCs w:val="24"/>
          <w:lang w:val="en-US"/>
        </w:rPr>
        <w:t>Color</w:t>
      </w:r>
      <w:r>
        <w:rPr>
          <w:rFonts w:ascii="Times New Roman" w:hAnsi="Times New Roman"/>
          <w:i/>
          <w:sz w:val="24"/>
          <w:szCs w:val="24"/>
        </w:rPr>
        <w:t xml:space="preserve"> </w:t>
      </w:r>
      <w:r>
        <w:rPr>
          <w:rFonts w:ascii="Times New Roman" w:hAnsi="Times New Roman"/>
          <w:i/>
          <w:sz w:val="24"/>
          <w:szCs w:val="24"/>
          <w:lang w:val="en-US"/>
        </w:rPr>
        <w:t>Charts</w:t>
      </w:r>
      <w:r>
        <w:rPr>
          <w:rFonts w:ascii="Times New Roman" w:hAnsi="Times New Roman"/>
          <w:sz w:val="24"/>
          <w:szCs w:val="24"/>
        </w:rPr>
        <w:t>. Детальное исследование текстуры ледниковых отложений производилось с помощью массовых замеров плоскостных (плоскости сланцеватости, границы слоистости) и линейных (длинные оси галек и валунов) элементов (</w:t>
      </w:r>
      <w:r>
        <w:rPr>
          <w:rFonts w:ascii="Times New Roman" w:hAnsi="Times New Roman"/>
          <w:sz w:val="24"/>
          <w:szCs w:val="24"/>
          <w:highlight w:val="cyan"/>
        </w:rPr>
        <w:t xml:space="preserve">Аболтиньш, 1989; </w:t>
      </w:r>
      <w:r>
        <w:rPr>
          <w:rFonts w:ascii="Times New Roman" w:hAnsi="Times New Roman"/>
          <w:sz w:val="24"/>
          <w:szCs w:val="24"/>
          <w:highlight w:val="cyan"/>
          <w:lang w:val="en-US"/>
        </w:rPr>
        <w:t>Benn</w:t>
      </w:r>
      <w:r>
        <w:rPr>
          <w:rFonts w:ascii="Times New Roman" w:hAnsi="Times New Roman"/>
          <w:sz w:val="24"/>
          <w:szCs w:val="24"/>
          <w:highlight w:val="cyan"/>
        </w:rPr>
        <w:t>, 2013</w:t>
      </w:r>
      <w:r>
        <w:rPr>
          <w:rFonts w:ascii="Times New Roman" w:hAnsi="Times New Roman"/>
          <w:sz w:val="24"/>
          <w:szCs w:val="24"/>
        </w:rPr>
        <w:t xml:space="preserve">). Выполнялось по 50–100 замеров азимутов и углов падения полюсов сланцеватости и линейных элементов. Обработка замеров проводилась при помощи программы </w:t>
      </w:r>
      <w:r>
        <w:rPr>
          <w:rFonts w:ascii="Times New Roman" w:hAnsi="Times New Roman"/>
          <w:sz w:val="24"/>
          <w:szCs w:val="24"/>
          <w:lang w:val="en-US"/>
        </w:rPr>
        <w:t>OpenStereo</w:t>
      </w:r>
      <w:r>
        <w:rPr>
          <w:rFonts w:ascii="Times New Roman" w:hAnsi="Times New Roman"/>
          <w:sz w:val="24"/>
          <w:szCs w:val="24"/>
        </w:rPr>
        <w:t xml:space="preserve"> 0.1.2, структурные диаграммы строились на нижней полусфере равноплощадной сетки Шмидта. Полученные результаты позволили реконструировать направления движения ледникового покрова, наличие сжатия или растяжения подледникового материала. Уточнение текстуры флювиогляциальных отложений производилось при помощи определения азимутов и углов падения слоистости, что позволило реконструировать направления течения потоков талых ледниковых вод (</w:t>
      </w:r>
      <w:r>
        <w:rPr>
          <w:rFonts w:ascii="Times New Roman" w:hAnsi="Times New Roman"/>
          <w:sz w:val="24"/>
          <w:szCs w:val="24"/>
          <w:highlight w:val="cyan"/>
        </w:rPr>
        <w:t xml:space="preserve">Аболтиньш, 1989; </w:t>
      </w:r>
      <w:r>
        <w:rPr>
          <w:rFonts w:ascii="Times New Roman" w:hAnsi="Times New Roman"/>
          <w:sz w:val="24"/>
          <w:szCs w:val="24"/>
          <w:highlight w:val="cyan"/>
          <w:lang w:val="en-US"/>
        </w:rPr>
        <w:t>Benn</w:t>
      </w:r>
      <w:r>
        <w:rPr>
          <w:rFonts w:ascii="Times New Roman" w:hAnsi="Times New Roman"/>
          <w:sz w:val="24"/>
          <w:szCs w:val="24"/>
          <w:highlight w:val="cyan"/>
        </w:rPr>
        <w:t>, 2013</w:t>
      </w:r>
      <w:r>
        <w:rPr>
          <w:rFonts w:ascii="Times New Roman" w:hAnsi="Times New Roman"/>
          <w:sz w:val="24"/>
          <w:szCs w:val="24"/>
        </w:rPr>
        <w:t xml:space="preserve">). </w:t>
      </w:r>
    </w:p>
    <w:p w14:paraId="5E4F1034">
      <w:pPr>
        <w:tabs>
          <w:tab w:val="left" w:pos="8789"/>
        </w:tabs>
        <w:spacing w:after="0" w:line="240" w:lineRule="auto"/>
        <w:ind w:firstLine="709"/>
        <w:jc w:val="both"/>
        <w:rPr>
          <w:rFonts w:ascii="Times New Roman" w:hAnsi="Times New Roman" w:cs="Times New Roman"/>
          <w:sz w:val="24"/>
          <w:szCs w:val="24"/>
        </w:rPr>
      </w:pPr>
      <w:commentRangeStart w:id="5"/>
      <w:commentRangeStart w:id="6"/>
      <w:r>
        <w:rPr>
          <w:rFonts w:ascii="Times New Roman" w:hAnsi="Times New Roman"/>
          <w:sz w:val="24"/>
          <w:szCs w:val="24"/>
        </w:rPr>
        <w:t>В</w:t>
      </w:r>
      <w:commentRangeEnd w:id="5"/>
      <w:r>
        <w:rPr>
          <w:rStyle w:val="4"/>
        </w:rPr>
        <w:commentReference w:id="5"/>
      </w:r>
      <w:commentRangeEnd w:id="6"/>
      <w:r>
        <w:rPr>
          <w:rStyle w:val="4"/>
        </w:rPr>
        <w:commentReference w:id="6"/>
      </w:r>
      <w:r>
        <w:rPr>
          <w:rFonts w:ascii="Times New Roman" w:hAnsi="Times New Roman"/>
          <w:sz w:val="24"/>
          <w:szCs w:val="24"/>
        </w:rPr>
        <w:t xml:space="preserve"> ходе полевых работ проводилось определение длины, высоты, крутизны склонов, ориентировки, ширины вершинной части и гребней гряд ледникового рельефа. Через отдельные формы рельефа проводились нивелирные ходы. Производилась оценка соответствия установленных в поле морфометрических характеристик и изображения на цифровой модели рельефа </w:t>
      </w:r>
      <w:r>
        <w:rPr>
          <w:rFonts w:ascii="Times New Roman" w:hAnsi="Times New Roman"/>
          <w:sz w:val="24"/>
          <w:szCs w:val="24"/>
          <w:lang w:val="en-US"/>
        </w:rPr>
        <w:t>ArcticDEM</w:t>
      </w:r>
      <w:r>
        <w:rPr>
          <w:rFonts w:ascii="Times New Roman" w:hAnsi="Times New Roman"/>
          <w:sz w:val="24"/>
          <w:szCs w:val="24"/>
        </w:rPr>
        <w:t xml:space="preserve"> разрешением 2 м (</w:t>
      </w:r>
      <w:r>
        <w:rPr>
          <w:rFonts w:ascii="Times New Roman" w:hAnsi="Times New Roman"/>
          <w:sz w:val="24"/>
          <w:szCs w:val="24"/>
          <w:highlight w:val="cyan"/>
          <w:lang w:val="en-US"/>
        </w:rPr>
        <w:t>Porter</w:t>
      </w:r>
      <w:r>
        <w:rPr>
          <w:rFonts w:ascii="Times New Roman" w:hAnsi="Times New Roman"/>
          <w:sz w:val="24"/>
          <w:szCs w:val="24"/>
          <w:highlight w:val="cyan"/>
        </w:rPr>
        <w:t xml:space="preserve"> </w:t>
      </w:r>
      <w:r>
        <w:rPr>
          <w:rFonts w:ascii="Times New Roman" w:hAnsi="Times New Roman"/>
          <w:sz w:val="24"/>
          <w:szCs w:val="24"/>
          <w:highlight w:val="cyan"/>
          <w:lang w:val="en-US"/>
        </w:rPr>
        <w:t>et</w:t>
      </w:r>
      <w:r>
        <w:rPr>
          <w:rFonts w:ascii="Times New Roman" w:hAnsi="Times New Roman"/>
          <w:sz w:val="24"/>
          <w:szCs w:val="24"/>
          <w:highlight w:val="cyan"/>
        </w:rPr>
        <w:t xml:space="preserve"> </w:t>
      </w:r>
      <w:r>
        <w:rPr>
          <w:rFonts w:ascii="Times New Roman" w:hAnsi="Times New Roman"/>
          <w:sz w:val="24"/>
          <w:szCs w:val="24"/>
          <w:highlight w:val="cyan"/>
          <w:lang w:val="en-US"/>
        </w:rPr>
        <w:t>al</w:t>
      </w:r>
      <w:r>
        <w:rPr>
          <w:rFonts w:ascii="Times New Roman" w:hAnsi="Times New Roman"/>
          <w:sz w:val="24"/>
          <w:szCs w:val="24"/>
          <w:highlight w:val="cyan"/>
        </w:rPr>
        <w:t>, 2018</w:t>
      </w:r>
      <w:r>
        <w:rPr>
          <w:rFonts w:ascii="Times New Roman" w:hAnsi="Times New Roman"/>
          <w:sz w:val="24"/>
          <w:szCs w:val="24"/>
        </w:rPr>
        <w:t xml:space="preserve">). Морфометрические характеристики позволяли достаточно надежно отличать ледниково-аккумулятивные формы рельефа от выступов поверхности кристаллического фундамента. </w:t>
      </w:r>
    </w:p>
    <w:p w14:paraId="1A2D937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highlight w:val="blue"/>
        </w:rPr>
        <w:t>Диатомовый анализ… (Оля)</w:t>
      </w:r>
    </w:p>
    <w:p w14:paraId="617E8695">
      <w:pPr>
        <w:spacing w:after="0" w:line="240" w:lineRule="auto"/>
        <w:ind w:firstLine="709"/>
        <w:jc w:val="both"/>
        <w:rPr>
          <w:rFonts w:ascii="Times New Roman" w:hAnsi="Times New Roman" w:cs="Times New Roman"/>
          <w:sz w:val="24"/>
          <w:szCs w:val="24"/>
        </w:rPr>
      </w:pPr>
      <w:r>
        <w:rPr>
          <w:rFonts w:ascii="Times New Roman" w:hAnsi="Times New Roman" w:cs="Times New Roman"/>
          <w:strike/>
          <w:dstrike w:val="0"/>
          <w:sz w:val="24"/>
          <w:szCs w:val="24"/>
          <w:highlight w:val="darkYellow"/>
        </w:rPr>
        <w:t>Малакофаунистический анализ</w:t>
      </w:r>
      <w:r>
        <w:rPr>
          <w:rFonts w:hint="default" w:ascii="Times New Roman" w:hAnsi="Times New Roman" w:cs="Times New Roman"/>
          <w:strike w:val="0"/>
          <w:dstrike w:val="0"/>
          <w:sz w:val="24"/>
          <w:szCs w:val="24"/>
          <w:highlight w:val="darkYellow"/>
          <w:lang w:val="ru-RU"/>
        </w:rPr>
        <w:t xml:space="preserve"> Анализ морских субфоссилий</w:t>
      </w:r>
      <w:r>
        <w:rPr>
          <w:rFonts w:ascii="Times New Roman" w:hAnsi="Times New Roman" w:cs="Times New Roman"/>
          <w:sz w:val="24"/>
          <w:szCs w:val="24"/>
          <w:highlight w:val="darkYellow"/>
        </w:rPr>
        <w:t xml:space="preserve"> (Вадим)</w:t>
      </w:r>
    </w:p>
    <w:p w14:paraId="76873DC9">
      <w:pPr>
        <w:spacing w:after="0" w:line="240" w:lineRule="auto"/>
        <w:ind w:firstLine="709"/>
        <w:jc w:val="both"/>
        <w:rPr>
          <w:rFonts w:hint="default" w:ascii="Times New Roman" w:hAnsi="Times New Roman" w:cs="Times New Roman"/>
          <w:sz w:val="24"/>
          <w:szCs w:val="24"/>
          <w:highlight w:val="darkGreen"/>
          <w:lang w:val="ru-RU"/>
        </w:rPr>
      </w:pPr>
      <w:r>
        <w:rPr>
          <w:rFonts w:ascii="Times New Roman" w:hAnsi="Times New Roman" w:cs="Times New Roman"/>
          <w:sz w:val="24"/>
          <w:szCs w:val="24"/>
          <w:highlight w:val="darkGreen"/>
          <w:lang w:val="ru-RU"/>
        </w:rPr>
        <w:t>Для</w:t>
      </w:r>
      <w:r>
        <w:rPr>
          <w:rFonts w:hint="default" w:ascii="Times New Roman" w:hAnsi="Times New Roman" w:cs="Times New Roman"/>
          <w:sz w:val="24"/>
          <w:szCs w:val="24"/>
          <w:highlight w:val="darkGreen"/>
          <w:lang w:val="ru-RU"/>
        </w:rPr>
        <w:t xml:space="preserve"> сбора субфоссилий морских беспозвоночных производили расчистку разреза от уровня современного почвенного слоя до глубины  240 см. Ниже указанной отметки располагалась марена, препятствовавшая проведению анализа более древних отложений. При расчистке отмечали визуально выраженные субфоссилии, положение которых отмечали на схеме разреза. Для более детального анализа образцы извлекали вместе с окружающим грунтом, фиксировали циан-акрилатным клеем и транспортировали в лабораторию.</w:t>
      </w:r>
      <w:r>
        <w:rPr>
          <w:rFonts w:hint="default" w:ascii="Times New Roman" w:hAnsi="Times New Roman" w:cs="Times New Roman"/>
          <w:sz w:val="24"/>
          <w:szCs w:val="24"/>
          <w:highlight w:val="darkGreen"/>
          <w:lang w:val="en-US"/>
        </w:rPr>
        <w:t xml:space="preserve"> </w:t>
      </w:r>
      <w:r>
        <w:rPr>
          <w:rFonts w:hint="default" w:ascii="Times New Roman" w:hAnsi="Times New Roman" w:cs="Times New Roman"/>
          <w:sz w:val="24"/>
          <w:szCs w:val="24"/>
          <w:highlight w:val="darkGreen"/>
          <w:lang w:val="ru-RU"/>
        </w:rPr>
        <w:t xml:space="preserve">Для определения видовой принадлежности субфоссилий проводили сравнение образцов с рецентными формами беломорской макрофауны.  </w:t>
      </w:r>
    </w:p>
    <w:p w14:paraId="2EC1A90F">
      <w:pPr>
        <w:spacing w:after="0" w:line="240" w:lineRule="auto"/>
        <w:ind w:firstLine="709"/>
        <w:jc w:val="both"/>
        <w:rPr>
          <w:rFonts w:hint="default" w:ascii="Times New Roman" w:hAnsi="Times New Roman" w:cs="Times New Roman"/>
          <w:sz w:val="24"/>
          <w:szCs w:val="24"/>
          <w:highlight w:val="darkGreen"/>
          <w:lang w:val="ru-RU"/>
        </w:rPr>
      </w:pPr>
    </w:p>
    <w:p w14:paraId="7B732914">
      <w:pPr>
        <w:spacing w:after="0" w:line="240" w:lineRule="auto"/>
        <w:ind w:firstLine="709"/>
        <w:jc w:val="both"/>
        <w:rPr>
          <w:rFonts w:hint="default" w:ascii="Times New Roman" w:hAnsi="Times New Roman" w:cs="Times New Roman"/>
          <w:sz w:val="24"/>
          <w:szCs w:val="24"/>
          <w:highlight w:val="darkGreen"/>
          <w:lang w:val="ru-RU"/>
        </w:rPr>
      </w:pPr>
      <w:r>
        <w:rPr>
          <w:rFonts w:hint="default" w:ascii="Times New Roman" w:hAnsi="Times New Roman" w:cs="Times New Roman"/>
          <w:sz w:val="24"/>
          <w:szCs w:val="24"/>
          <w:highlight w:val="darkGreen"/>
          <w:lang w:val="ru-RU"/>
        </w:rPr>
        <w:t>После отнесения субфоссилий к наиболее вероятному виду, проводили поиск данных о связи рецентного вида с  глубиной</w:t>
      </w:r>
      <w:r>
        <w:rPr>
          <w:rFonts w:hint="default" w:ascii="Times New Roman" w:hAnsi="Times New Roman" w:cs="Times New Roman"/>
          <w:sz w:val="24"/>
          <w:szCs w:val="24"/>
          <w:highlight w:val="darkGreen"/>
          <w:lang w:val="en-US"/>
        </w:rPr>
        <w:t xml:space="preserve">. </w:t>
      </w:r>
      <w:r>
        <w:rPr>
          <w:rFonts w:hint="default" w:ascii="Times New Roman" w:hAnsi="Times New Roman" w:cs="Times New Roman"/>
          <w:sz w:val="24"/>
          <w:szCs w:val="24"/>
          <w:highlight w:val="darkGreen"/>
          <w:lang w:val="ru-RU"/>
        </w:rPr>
        <w:t xml:space="preserve">Для этого с помощью пакета </w:t>
      </w:r>
      <w:r>
        <w:rPr>
          <w:rFonts w:hint="default" w:ascii="Times New Roman" w:hAnsi="Times New Roman" w:cs="Times New Roman"/>
          <w:sz w:val="24"/>
          <w:szCs w:val="24"/>
          <w:highlight w:val="darkGreen"/>
          <w:lang w:val="en-US"/>
        </w:rPr>
        <w:t>“robis” (</w:t>
      </w:r>
      <w:r>
        <w:rPr>
          <w:rFonts w:hint="default" w:ascii="Times New Roman" w:hAnsi="Times New Roman"/>
          <w:sz w:val="24"/>
          <w:szCs w:val="24"/>
          <w:highlight w:val="darkGreen"/>
          <w:lang w:val="en-US"/>
        </w:rPr>
        <w:t>Provoost, Bosch, 2022</w:t>
      </w:r>
      <w:r>
        <w:rPr>
          <w:rFonts w:hint="default" w:ascii="Times New Roman" w:hAnsi="Times New Roman" w:cs="Times New Roman"/>
          <w:sz w:val="24"/>
          <w:szCs w:val="24"/>
          <w:highlight w:val="darkGreen"/>
          <w:lang w:val="en-US"/>
        </w:rPr>
        <w:t xml:space="preserve">) </w:t>
      </w:r>
      <w:r>
        <w:rPr>
          <w:rFonts w:hint="default" w:ascii="Times New Roman" w:hAnsi="Times New Roman" w:cs="Times New Roman"/>
          <w:sz w:val="24"/>
          <w:szCs w:val="24"/>
          <w:highlight w:val="darkGreen"/>
          <w:lang w:val="ru-RU"/>
        </w:rPr>
        <w:t xml:space="preserve">были сделаны запросы в </w:t>
      </w:r>
      <w:commentRangeStart w:id="7"/>
      <w:r>
        <w:rPr>
          <w:rFonts w:hint="default" w:ascii="Times New Roman" w:hAnsi="Times New Roman"/>
          <w:sz w:val="24"/>
          <w:szCs w:val="24"/>
          <w:highlight w:val="darkGreen"/>
          <w:lang w:val="ru-RU"/>
        </w:rPr>
        <w:t>Ocean Biodiversity Information System (OBIS)</w:t>
      </w:r>
      <w:r>
        <w:rPr>
          <w:rFonts w:hint="default" w:ascii="Times New Roman" w:hAnsi="Times New Roman" w:cs="Times New Roman"/>
          <w:sz w:val="24"/>
          <w:szCs w:val="24"/>
          <w:highlight w:val="darkGreen"/>
          <w:lang w:val="ru-RU"/>
        </w:rPr>
        <w:t xml:space="preserve"> </w:t>
      </w:r>
      <w:commentRangeEnd w:id="7"/>
      <w:r>
        <w:rPr>
          <w:highlight w:val="darkGreen"/>
        </w:rPr>
        <w:commentReference w:id="7"/>
      </w:r>
      <w:r>
        <w:rPr>
          <w:rFonts w:hint="default"/>
          <w:highlight w:val="darkGreen"/>
          <w:lang w:val="ru-RU"/>
        </w:rPr>
        <w:t>. Из полученных данных были отфильтрованы только локации из Северного Ледовитого Океана. Для каждого таксона ранга вида были проанализированы распределения значений глубины, на которой данный вид был отмечен</w:t>
      </w:r>
      <w:r>
        <w:rPr>
          <w:rFonts w:hint="default"/>
          <w:highlight w:val="darkGreen"/>
          <w:lang w:val="en-US"/>
        </w:rPr>
        <w:t xml:space="preserve"> </w:t>
      </w:r>
      <w:r>
        <w:rPr>
          <w:rFonts w:hint="default"/>
          <w:highlight w:val="darkGreen"/>
          <w:lang w:val="ru-RU"/>
        </w:rPr>
        <w:t xml:space="preserve">в запросе из </w:t>
      </w:r>
      <w:r>
        <w:rPr>
          <w:rFonts w:hint="default"/>
          <w:highlight w:val="darkGreen"/>
          <w:lang w:val="en-US"/>
        </w:rPr>
        <w:t>OBIS</w:t>
      </w:r>
      <w:r>
        <w:rPr>
          <w:rFonts w:hint="default"/>
          <w:highlight w:val="darkGreen"/>
          <w:lang w:val="ru-RU"/>
        </w:rPr>
        <w:t xml:space="preserve">.  </w:t>
      </w:r>
    </w:p>
    <w:p w14:paraId="4930BA48">
      <w:pPr>
        <w:spacing w:after="0" w:line="240" w:lineRule="auto"/>
        <w:ind w:firstLine="709"/>
        <w:jc w:val="both"/>
        <w:rPr>
          <w:rFonts w:hint="default" w:ascii="Times New Roman" w:hAnsi="Times New Roman" w:cs="Times New Roman"/>
          <w:sz w:val="24"/>
          <w:szCs w:val="24"/>
          <w:lang w:val="ru-RU"/>
        </w:rPr>
      </w:pPr>
    </w:p>
    <w:p w14:paraId="7E09B0C6">
      <w:pPr>
        <w:spacing w:after="0" w:line="240" w:lineRule="auto"/>
        <w:ind w:firstLine="709"/>
        <w:jc w:val="both"/>
        <w:rPr>
          <w:rFonts w:hint="default" w:ascii="Times New Roman" w:hAnsi="Times New Roman" w:cs="Times New Roman"/>
          <w:sz w:val="24"/>
          <w:szCs w:val="24"/>
          <w:lang w:val="ru-RU"/>
        </w:rPr>
      </w:pPr>
    </w:p>
    <w:p w14:paraId="1FBE8C02">
      <w:pPr>
        <w:spacing w:after="0" w:line="240" w:lineRule="auto"/>
        <w:ind w:firstLine="709"/>
        <w:jc w:val="both"/>
        <w:rPr>
          <w:rFonts w:hint="default" w:ascii="Times New Roman" w:hAnsi="Times New Roman" w:cs="Times New Roman"/>
          <w:sz w:val="24"/>
          <w:szCs w:val="24"/>
          <w:lang w:val="ru-RU"/>
        </w:rPr>
      </w:pPr>
    </w:p>
    <w:p w14:paraId="3338194E">
      <w:pPr>
        <w:spacing w:after="0" w:line="240" w:lineRule="auto"/>
        <w:ind w:firstLine="709"/>
        <w:jc w:val="both"/>
        <w:rPr>
          <w:rFonts w:ascii="Times New Roman" w:hAnsi="Times New Roman" w:cs="Times New Roman"/>
          <w:sz w:val="24"/>
          <w:szCs w:val="24"/>
        </w:rPr>
      </w:pPr>
    </w:p>
    <w:p w14:paraId="4ABDF595">
      <w:pPr>
        <w:spacing w:after="0" w:line="240" w:lineRule="auto"/>
        <w:ind w:firstLine="709"/>
        <w:jc w:val="both"/>
        <w:rPr>
          <w:rFonts w:ascii="Times New Roman" w:hAnsi="Times New Roman" w:cs="Times New Roman"/>
          <w:sz w:val="24"/>
          <w:szCs w:val="24"/>
        </w:rPr>
      </w:pPr>
    </w:p>
    <w:p w14:paraId="1E9C0E64">
      <w:pPr>
        <w:spacing w:after="0" w:line="240" w:lineRule="auto"/>
        <w:ind w:firstLine="709"/>
        <w:jc w:val="both"/>
        <w:rPr>
          <w:rFonts w:ascii="Times New Roman" w:hAnsi="Times New Roman" w:cs="Times New Roman"/>
          <w:sz w:val="24"/>
          <w:szCs w:val="24"/>
        </w:rPr>
      </w:pPr>
      <w:r>
        <w:rPr>
          <w:rFonts w:ascii="Times New Roman" w:hAnsi="Times New Roman"/>
          <w:sz w:val="24"/>
          <w:szCs w:val="24"/>
        </w:rPr>
        <w:t xml:space="preserve">Образцы для ОСЛ-датирования были отобраны в светонепроницаемые пластиковые трубы. </w:t>
      </w:r>
      <w:r>
        <w:rPr>
          <w:rFonts w:ascii="Times New Roman" w:hAnsi="Times New Roman"/>
          <w:sz w:val="24"/>
        </w:rPr>
        <w:t>ОСЛ-датирование образцов (</w:t>
      </w:r>
      <w:r>
        <w:rPr>
          <w:rFonts w:ascii="Times New Roman" w:hAnsi="Times New Roman"/>
          <w:sz w:val="24"/>
          <w:highlight w:val="green"/>
        </w:rPr>
        <w:t>табл. 1</w:t>
      </w:r>
      <w:r>
        <w:rPr>
          <w:rFonts w:ascii="Times New Roman" w:hAnsi="Times New Roman"/>
          <w:sz w:val="24"/>
        </w:rPr>
        <w:t xml:space="preserve">) выполнено в лаборатории ОСЛ ФГБУ «Институт Карпинского» (Санкт-Петербург). </w:t>
      </w:r>
      <w:r>
        <w:rPr>
          <w:rFonts w:ascii="Times New Roman" w:hAnsi="Times New Roman" w:cs="NewtonC"/>
          <w:sz w:val="24"/>
          <w:szCs w:val="24"/>
        </w:rPr>
        <w:t xml:space="preserve">Активности радионуклидов определялись на сверхнизкофоновом гамма-спектрометре с детектором на основе особо чистого германия Canberra BE3825 после герметизации образцов воском и выдержки в течение 20 дней. </w:t>
      </w:r>
      <w:r>
        <w:rPr>
          <w:rFonts w:ascii="Times New Roman" w:hAnsi="Times New Roman"/>
          <w:sz w:val="24"/>
        </w:rPr>
        <w:t>Для выделения зёрен кварца фракции 180–250 мкм применялась стандартная пробоподготовка [</w:t>
      </w:r>
      <w:r>
        <w:rPr>
          <w:rFonts w:ascii="Times New Roman" w:hAnsi="Times New Roman"/>
          <w:sz w:val="24"/>
          <w:highlight w:val="cyan"/>
        </w:rPr>
        <w:t>9</w:t>
      </w:r>
      <w:r>
        <w:rPr>
          <w:rFonts w:ascii="Times New Roman" w:hAnsi="Times New Roman"/>
          <w:sz w:val="24"/>
        </w:rPr>
        <w:t xml:space="preserve">].  Эквивалентные дозы в пробах измерены на </w:t>
      </w:r>
      <w:r>
        <w:rPr>
          <w:rFonts w:ascii="Times New Roman" w:hAnsi="Times New Roman" w:cs="NewtonC"/>
          <w:sz w:val="24"/>
          <w:szCs w:val="24"/>
        </w:rPr>
        <w:t>ТЛ/ОСЛ-ридере Ris</w:t>
      </w:r>
      <w:r>
        <w:rPr>
          <w:rFonts w:ascii="Times New Roman" w:hAnsi="Times New Roman"/>
          <w:sz w:val="24"/>
          <w:szCs w:val="24"/>
        </w:rPr>
        <w:t xml:space="preserve">ø </w:t>
      </w:r>
      <w:r>
        <w:rPr>
          <w:rFonts w:ascii="Times New Roman" w:hAnsi="Times New Roman" w:cs="NewtonC"/>
          <w:sz w:val="24"/>
          <w:szCs w:val="24"/>
        </w:rPr>
        <w:t xml:space="preserve">DA-20 C/D с применением </w:t>
      </w:r>
      <w:r>
        <w:rPr>
          <w:rFonts w:ascii="Times New Roman" w:hAnsi="Times New Roman" w:cs="NewtonC"/>
          <w:sz w:val="24"/>
          <w:szCs w:val="24"/>
          <w:lang w:val="en-US"/>
        </w:rPr>
        <w:t>SAR</w:t>
      </w:r>
      <w:r>
        <w:rPr>
          <w:rFonts w:ascii="Times New Roman" w:hAnsi="Times New Roman" w:cs="NewtonC"/>
          <w:sz w:val="24"/>
          <w:szCs w:val="24"/>
        </w:rPr>
        <w:t>-протокола [</w:t>
      </w:r>
      <w:r>
        <w:rPr>
          <w:rFonts w:ascii="Times New Roman" w:hAnsi="Times New Roman" w:cs="NewtonC"/>
          <w:sz w:val="24"/>
          <w:szCs w:val="24"/>
          <w:highlight w:val="cyan"/>
        </w:rPr>
        <w:t>10</w:t>
      </w:r>
      <w:r>
        <w:rPr>
          <w:rFonts w:ascii="Times New Roman" w:hAnsi="Times New Roman" w:cs="NewtonC"/>
          <w:sz w:val="24"/>
          <w:szCs w:val="24"/>
        </w:rPr>
        <w:t>]. Мощности дозы рассчитаны по стандартной методике [</w:t>
      </w:r>
      <w:r>
        <w:rPr>
          <w:rFonts w:ascii="Times New Roman" w:hAnsi="Times New Roman" w:cs="NewtonC"/>
          <w:sz w:val="24"/>
          <w:szCs w:val="24"/>
          <w:highlight w:val="cyan"/>
        </w:rPr>
        <w:t>8</w:t>
      </w:r>
      <w:r>
        <w:rPr>
          <w:rFonts w:ascii="Times New Roman" w:hAnsi="Times New Roman" w:cs="NewtonC"/>
          <w:sz w:val="24"/>
          <w:szCs w:val="24"/>
        </w:rPr>
        <w:t xml:space="preserve">]. Предполагалось, что средняя влажность за период захоронения составляла 95% от величины водонасыщения.  </w:t>
      </w:r>
      <w:r>
        <w:rPr>
          <w:rFonts w:ascii="Times New Roman" w:hAnsi="Times New Roman"/>
          <w:sz w:val="24"/>
          <w:szCs w:val="24"/>
        </w:rPr>
        <w:t>ОСЛ-даты (</w:t>
      </w:r>
      <w:r>
        <w:rPr>
          <w:rFonts w:ascii="Times New Roman" w:hAnsi="Times New Roman"/>
          <w:sz w:val="24"/>
          <w:szCs w:val="24"/>
          <w:highlight w:val="green"/>
        </w:rPr>
        <w:t>табл. 1</w:t>
      </w:r>
      <w:r>
        <w:rPr>
          <w:rFonts w:ascii="Times New Roman" w:hAnsi="Times New Roman"/>
          <w:sz w:val="24"/>
          <w:szCs w:val="24"/>
        </w:rPr>
        <w:t>) рассчитаны как отношения эквивалентных доз к соответствующим мощностям дозы (</w:t>
      </w:r>
      <w:r>
        <w:rPr>
          <w:rFonts w:ascii="Times New Roman" w:hAnsi="Times New Roman"/>
          <w:sz w:val="24"/>
          <w:szCs w:val="24"/>
          <w:highlight w:val="cyan"/>
          <w:lang w:val="en-US"/>
        </w:rPr>
        <w:t>Ruchkin</w:t>
      </w:r>
      <w:r>
        <w:rPr>
          <w:rFonts w:ascii="Times New Roman" w:hAnsi="Times New Roman"/>
          <w:sz w:val="24"/>
          <w:szCs w:val="24"/>
          <w:highlight w:val="cyan"/>
        </w:rPr>
        <w:t xml:space="preserve"> </w:t>
      </w:r>
      <w:r>
        <w:rPr>
          <w:rFonts w:ascii="Times New Roman" w:hAnsi="Times New Roman"/>
          <w:sz w:val="24"/>
          <w:szCs w:val="24"/>
          <w:highlight w:val="cyan"/>
          <w:lang w:val="en-US"/>
        </w:rPr>
        <w:t>et</w:t>
      </w:r>
      <w:r>
        <w:rPr>
          <w:rFonts w:ascii="Times New Roman" w:hAnsi="Times New Roman"/>
          <w:sz w:val="24"/>
          <w:szCs w:val="24"/>
          <w:highlight w:val="cyan"/>
        </w:rPr>
        <w:t xml:space="preserve"> </w:t>
      </w:r>
      <w:r>
        <w:rPr>
          <w:rFonts w:ascii="Times New Roman" w:hAnsi="Times New Roman"/>
          <w:sz w:val="24"/>
          <w:szCs w:val="24"/>
          <w:highlight w:val="cyan"/>
          <w:lang w:val="en-US"/>
        </w:rPr>
        <w:t>al</w:t>
      </w:r>
      <w:r>
        <w:rPr>
          <w:rFonts w:ascii="Times New Roman" w:hAnsi="Times New Roman"/>
          <w:sz w:val="24"/>
          <w:szCs w:val="24"/>
          <w:highlight w:val="cyan"/>
        </w:rPr>
        <w:t>., 2024</w:t>
      </w:r>
      <w:r>
        <w:rPr>
          <w:rFonts w:ascii="Times New Roman" w:hAnsi="Times New Roman"/>
          <w:sz w:val="24"/>
          <w:szCs w:val="24"/>
        </w:rPr>
        <w:t xml:space="preserve">). </w:t>
      </w:r>
    </w:p>
    <w:p w14:paraId="63E0C5A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Радиоуглеродное датирование образцов раковин моллюсков, торфа и сапропеля выполнялось в лаборатории геохимии изотопов и геохронологии Геологического института РАН (индекс ГИН-), и в лаборатории радиоуглеродного датирования и электронной микроскопии Института географии РАН (индекс </w:t>
      </w:r>
      <w:r>
        <w:rPr>
          <w:rFonts w:ascii="Times New Roman" w:hAnsi="Times New Roman" w:cs="Times New Roman"/>
          <w:sz w:val="24"/>
          <w:szCs w:val="24"/>
          <w:lang w:val="en-GB"/>
        </w:rPr>
        <w:t>IGAN</w:t>
      </w:r>
      <w:r>
        <w:rPr>
          <w:rFonts w:ascii="Times New Roman" w:hAnsi="Times New Roman" w:cs="Times New Roman"/>
          <w:sz w:val="24"/>
          <w:szCs w:val="24"/>
        </w:rPr>
        <w:t>-) с применением стандартных методик, принятых в лабораториях (</w:t>
      </w:r>
      <w:r>
        <w:rPr>
          <w:rFonts w:ascii="Times New Roman" w:hAnsi="Times New Roman" w:cs="Times New Roman"/>
          <w:sz w:val="24"/>
          <w:szCs w:val="24"/>
          <w:highlight w:val="cyan"/>
          <w:lang w:val="en-US"/>
        </w:rPr>
        <w:t>Zaretskaya</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GB"/>
        </w:rPr>
        <w:t>al</w:t>
      </w:r>
      <w:r>
        <w:rPr>
          <w:rFonts w:ascii="Times New Roman" w:hAnsi="Times New Roman" w:cs="Times New Roman"/>
          <w:sz w:val="24"/>
          <w:szCs w:val="24"/>
          <w:highlight w:val="cyan"/>
        </w:rPr>
        <w:t>., 2012</w:t>
      </w:r>
      <w:r>
        <w:rPr>
          <w:rFonts w:ascii="Times New Roman" w:hAnsi="Times New Roman" w:cs="Times New Roman"/>
          <w:sz w:val="24"/>
          <w:szCs w:val="24"/>
        </w:rPr>
        <w:t>)</w:t>
      </w:r>
      <w:r>
        <w:rPr>
          <w:rFonts w:ascii="Times New Roman" w:hAnsi="Times New Roman" w:cs="Times New Roman"/>
          <w:color w:val="111111"/>
          <w:sz w:val="24"/>
          <w:szCs w:val="24"/>
        </w:rPr>
        <w:t xml:space="preserve">. </w:t>
      </w:r>
      <w:r>
        <w:rPr>
          <w:rFonts w:ascii="Times New Roman" w:hAnsi="Times New Roman" w:cs="Times New Roman"/>
          <w:sz w:val="24"/>
          <w:szCs w:val="24"/>
        </w:rPr>
        <w:t xml:space="preserve">Калибровка радиоуглеродных дат выполнена в программе </w:t>
      </w:r>
      <w:r>
        <w:rPr>
          <w:rFonts w:ascii="Times New Roman" w:hAnsi="Times New Roman" w:cs="Times New Roman"/>
          <w:sz w:val="24"/>
          <w:szCs w:val="24"/>
          <w:lang w:val="en-US"/>
        </w:rPr>
        <w:t>Calib</w:t>
      </w:r>
      <w:r>
        <w:rPr>
          <w:rFonts w:ascii="Times New Roman" w:hAnsi="Times New Roman" w:cs="Times New Roman"/>
          <w:sz w:val="24"/>
          <w:szCs w:val="24"/>
        </w:rPr>
        <w:t xml:space="preserve"> 8.2 с использованием калибровочной кривой </w:t>
      </w:r>
      <w:r>
        <w:rPr>
          <w:rFonts w:ascii="Times New Roman" w:hAnsi="Times New Roman" w:cs="Times New Roman"/>
          <w:sz w:val="24"/>
          <w:szCs w:val="24"/>
          <w:lang w:val="en-US"/>
        </w:rPr>
        <w:t>IntCal</w:t>
      </w:r>
      <w:r>
        <w:rPr>
          <w:rFonts w:ascii="Times New Roman" w:hAnsi="Times New Roman" w:cs="Times New Roman"/>
          <w:sz w:val="24"/>
          <w:szCs w:val="24"/>
        </w:rPr>
        <w:t xml:space="preserve">20 и </w:t>
      </w:r>
      <w:r>
        <w:rPr>
          <w:rFonts w:ascii="Times New Roman" w:hAnsi="Times New Roman" w:cs="Times New Roman"/>
          <w:sz w:val="24"/>
          <w:szCs w:val="24"/>
          <w:lang w:val="en-US"/>
        </w:rPr>
        <w:t>Marine</w:t>
      </w:r>
      <w:r>
        <w:rPr>
          <w:rFonts w:ascii="Times New Roman" w:hAnsi="Times New Roman" w:cs="Times New Roman"/>
          <w:sz w:val="24"/>
          <w:szCs w:val="24"/>
        </w:rPr>
        <w:t>20 (</w:t>
      </w:r>
      <w:r>
        <w:rPr>
          <w:rFonts w:ascii="Times New Roman" w:hAnsi="Times New Roman" w:cs="Times New Roman"/>
          <w:sz w:val="24"/>
          <w:szCs w:val="24"/>
          <w:highlight w:val="cyan"/>
          <w:lang w:val="en-US"/>
        </w:rPr>
        <w:t>Reimer</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et</w:t>
      </w:r>
      <w:r>
        <w:rPr>
          <w:rFonts w:ascii="Times New Roman" w:hAnsi="Times New Roman" w:cs="Times New Roman"/>
          <w:sz w:val="24"/>
          <w:szCs w:val="24"/>
          <w:highlight w:val="cyan"/>
        </w:rPr>
        <w:t xml:space="preserve"> </w:t>
      </w:r>
      <w:r>
        <w:rPr>
          <w:rFonts w:ascii="Times New Roman" w:hAnsi="Times New Roman" w:cs="Times New Roman"/>
          <w:sz w:val="24"/>
          <w:szCs w:val="24"/>
          <w:highlight w:val="cyan"/>
          <w:lang w:val="en-US"/>
        </w:rPr>
        <w:t>al</w:t>
      </w:r>
      <w:r>
        <w:rPr>
          <w:rFonts w:ascii="Times New Roman" w:hAnsi="Times New Roman" w:cs="Times New Roman"/>
          <w:sz w:val="24"/>
          <w:szCs w:val="24"/>
          <w:highlight w:val="cyan"/>
        </w:rPr>
        <w:t>., 2020</w:t>
      </w:r>
      <w:r>
        <w:rPr>
          <w:rFonts w:ascii="Times New Roman" w:hAnsi="Times New Roman" w:cs="Times New Roman"/>
          <w:sz w:val="24"/>
          <w:szCs w:val="24"/>
        </w:rPr>
        <w:t xml:space="preserve">). Полученные даты приведены в </w:t>
      </w:r>
      <w:r>
        <w:rPr>
          <w:rFonts w:ascii="Times New Roman" w:hAnsi="Times New Roman" w:cs="Times New Roman"/>
          <w:sz w:val="24"/>
          <w:szCs w:val="24"/>
          <w:highlight w:val="green"/>
        </w:rPr>
        <w:t>таблице 2.</w:t>
      </w:r>
    </w:p>
    <w:p w14:paraId="410B81C4">
      <w:pPr>
        <w:spacing w:after="0" w:line="240" w:lineRule="auto"/>
        <w:jc w:val="both"/>
        <w:rPr>
          <w:rFonts w:ascii="Times New Roman" w:hAnsi="Times New Roman" w:cs="Times New Roman"/>
          <w:sz w:val="24"/>
          <w:szCs w:val="24"/>
        </w:rPr>
      </w:pPr>
    </w:p>
    <w:p w14:paraId="280AB8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РЕЗУЛЬТАТЫ</w:t>
      </w:r>
    </w:p>
    <w:p w14:paraId="3E4F14E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Для осевой части Колвицкой ложбины на протяжении более 9 км характерен грядовый рельеф (</w:t>
      </w:r>
      <w:r>
        <w:rPr>
          <w:rFonts w:ascii="Times New Roman" w:hAnsi="Times New Roman" w:cs="Times New Roman"/>
          <w:sz w:val="24"/>
          <w:szCs w:val="24"/>
          <w:highlight w:val="green"/>
        </w:rPr>
        <w:t>Рис. 1</w:t>
      </w:r>
      <w:r>
        <w:rPr>
          <w:rFonts w:ascii="Times New Roman" w:hAnsi="Times New Roman" w:cs="Times New Roman"/>
          <w:sz w:val="24"/>
          <w:szCs w:val="24"/>
        </w:rPr>
        <w:t xml:space="preserve">). Ширина отдельных гряд обычно 50-100 м. Максимальная высота гряд (118 м н.у.м.) характерна для восточной части ложбины, относительная их высота уменьшается от 30–45 м на востоке до 3–10 м на западе. Пригребневые части гряд сложены валунным и гравийно-галечным окатанным материалом. На склонах гряд выявлены разнозернистые, преимущественно косослоистые пески с прослоями гравийно-галечного материала, часто со сколами сбросовой кинематики. В приустьевой части долины р. Колвицы грядовые формы в современном рельефе не прослеживаются, но, возможно, проявляются в строении представленных здесь террасовидных образований с полого-холмистой поверхностью. </w:t>
      </w:r>
    </w:p>
    <w:p w14:paraId="7AE1FBAB">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Один из таких комплексов был вскрыт карьером (67.083074 с.ш., 33.057329 в.д.) в 3.5 км к востоку от устья р. Колвицы (</w:t>
      </w:r>
      <w:r>
        <w:rPr>
          <w:rFonts w:ascii="Times New Roman" w:hAnsi="Times New Roman" w:cs="Times New Roman"/>
          <w:sz w:val="24"/>
          <w:szCs w:val="24"/>
          <w:highlight w:val="green"/>
        </w:rPr>
        <w:t>Рис. 1</w:t>
      </w:r>
      <w:r>
        <w:rPr>
          <w:rFonts w:ascii="Times New Roman" w:hAnsi="Times New Roman" w:cs="Times New Roman"/>
          <w:sz w:val="24"/>
          <w:szCs w:val="24"/>
        </w:rPr>
        <w:t>). Здесь вскрыта террасоподобная форма с отметками поверхности 55 м н.у.м., расположенная между двумя грядами широтного простирания (</w:t>
      </w:r>
      <w:r>
        <w:rPr>
          <w:rFonts w:ascii="Times New Roman" w:hAnsi="Times New Roman" w:cs="Times New Roman"/>
          <w:sz w:val="24"/>
          <w:szCs w:val="24"/>
          <w:highlight w:val="green"/>
        </w:rPr>
        <w:t>Рис. 2</w:t>
      </w:r>
      <w:r>
        <w:rPr>
          <w:rFonts w:ascii="Times New Roman" w:hAnsi="Times New Roman" w:cs="Times New Roman"/>
          <w:sz w:val="24"/>
          <w:szCs w:val="24"/>
        </w:rPr>
        <w:t>). Строение комплекса изучено в трёх разрезах разноориентированных стенок карьера.</w:t>
      </w:r>
    </w:p>
    <w:p w14:paraId="4A80C4D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bCs/>
          <w:iCs/>
          <w:sz w:val="24"/>
          <w:szCs w:val="24"/>
        </w:rPr>
        <w:t>юго-восточной стенке карьера</w:t>
      </w:r>
      <w:r>
        <w:rPr>
          <w:rFonts w:ascii="Times New Roman" w:hAnsi="Times New Roman" w:cs="Times New Roman"/>
          <w:sz w:val="24"/>
          <w:szCs w:val="24"/>
        </w:rPr>
        <w:t xml:space="preserve"> (</w:t>
      </w:r>
      <w:r>
        <w:rPr>
          <w:rFonts w:ascii="Times New Roman" w:hAnsi="Times New Roman" w:cs="Times New Roman"/>
          <w:sz w:val="24"/>
          <w:szCs w:val="24"/>
          <w:highlight w:val="green"/>
        </w:rPr>
        <w:t>Рис. 3а</w:t>
      </w:r>
      <w:r>
        <w:rPr>
          <w:rFonts w:ascii="Times New Roman" w:hAnsi="Times New Roman" w:cs="Times New Roman"/>
          <w:sz w:val="24"/>
          <w:szCs w:val="24"/>
        </w:rPr>
        <w:t>) вскрывается пачка ритмичнослоистых отложений, представляющих собой переслаивание тонкозернистого (иногда мелкозернистого) светло-серого песка и суглинистого серого алеврита. Общая видимая мощность этой пачки в разрезе – до 7 м. Толщина прослоев песка в пачке варьирует от 1 до 10 см, а мощность прослоев алеврита не превышает 1 см. Встречаются прослои (до 10 см) с волнистой слоистостью, и единичные валуны (по-видимому, дропстоуны). Слоистость по всей пачке горизонтальная, в нижней части разреза иногда извилистая. Из этой толщи с глубины 6.8 м была получена ОСЛ-дата 34±4 (</w:t>
      </w:r>
      <w:r>
        <w:rPr>
          <w:rFonts w:ascii="Times New Roman" w:hAnsi="Times New Roman" w:cs="Times New Roman"/>
          <w:sz w:val="24"/>
          <w:szCs w:val="24"/>
          <w:lang w:val="en-GB"/>
        </w:rPr>
        <w:t>RGI</w:t>
      </w:r>
      <w:r>
        <w:rPr>
          <w:rFonts w:ascii="Times New Roman" w:hAnsi="Times New Roman" w:cs="Times New Roman"/>
          <w:sz w:val="24"/>
          <w:szCs w:val="24"/>
        </w:rPr>
        <w:t>-1215), а с глубины 2.1 м - 23±2 (</w:t>
      </w:r>
      <w:r>
        <w:rPr>
          <w:rFonts w:ascii="Times New Roman" w:hAnsi="Times New Roman" w:cs="Times New Roman"/>
          <w:sz w:val="24"/>
          <w:szCs w:val="24"/>
          <w:lang w:val="en-GB"/>
        </w:rPr>
        <w:t>RGI</w:t>
      </w:r>
      <w:r>
        <w:rPr>
          <w:rFonts w:ascii="Times New Roman" w:hAnsi="Times New Roman" w:cs="Times New Roman"/>
          <w:sz w:val="24"/>
          <w:szCs w:val="24"/>
        </w:rPr>
        <w:t>-1214) (</w:t>
      </w:r>
      <w:r>
        <w:rPr>
          <w:rFonts w:ascii="Times New Roman" w:hAnsi="Times New Roman" w:cs="Times New Roman"/>
          <w:sz w:val="24"/>
          <w:szCs w:val="24"/>
          <w:highlight w:val="green"/>
        </w:rPr>
        <w:t>Табл. 1</w:t>
      </w:r>
      <w:r>
        <w:rPr>
          <w:rFonts w:ascii="Times New Roman" w:hAnsi="Times New Roman" w:cs="Times New Roman"/>
          <w:sz w:val="24"/>
          <w:szCs w:val="24"/>
        </w:rPr>
        <w:t xml:space="preserve">). </w:t>
      </w:r>
    </w:p>
    <w:p w14:paraId="490C0701">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bCs/>
          <w:iCs/>
          <w:sz w:val="24"/>
          <w:szCs w:val="24"/>
        </w:rPr>
        <w:t>восточной стенке карьера</w:t>
      </w:r>
      <w:r>
        <w:rPr>
          <w:rFonts w:ascii="Times New Roman" w:hAnsi="Times New Roman" w:cs="Times New Roman"/>
          <w:sz w:val="24"/>
          <w:szCs w:val="24"/>
        </w:rPr>
        <w:t xml:space="preserve"> (</w:t>
      </w:r>
      <w:r>
        <w:rPr>
          <w:rFonts w:ascii="Times New Roman" w:hAnsi="Times New Roman" w:cs="Times New Roman"/>
          <w:sz w:val="24"/>
          <w:szCs w:val="24"/>
          <w:highlight w:val="green"/>
        </w:rPr>
        <w:t>Рис. 3б</w:t>
      </w:r>
      <w:r>
        <w:rPr>
          <w:rFonts w:ascii="Times New Roman" w:hAnsi="Times New Roman" w:cs="Times New Roman"/>
          <w:sz w:val="24"/>
          <w:szCs w:val="24"/>
        </w:rPr>
        <w:t>) верхняя часть разреза снизу вверх представлена ритмичнослоистыми осадками, представляющими собой переслаивание светло-серого тонко-мелкозернистого песка и серого алеврита (1.6-0.4 м). Из нижней части этого слоя с глубины 1.4 м была получена ОСЛ-дата 15.5±2.3 (</w:t>
      </w:r>
      <w:r>
        <w:rPr>
          <w:rFonts w:ascii="Times New Roman" w:hAnsi="Times New Roman" w:cs="Times New Roman"/>
          <w:sz w:val="24"/>
          <w:szCs w:val="24"/>
          <w:lang w:val="en-GB"/>
        </w:rPr>
        <w:t>RGI</w:t>
      </w:r>
      <w:r>
        <w:rPr>
          <w:rFonts w:ascii="Times New Roman" w:hAnsi="Times New Roman" w:cs="Times New Roman"/>
          <w:sz w:val="24"/>
          <w:szCs w:val="24"/>
        </w:rPr>
        <w:t>-1213) (</w:t>
      </w:r>
      <w:r>
        <w:rPr>
          <w:rFonts w:ascii="Times New Roman" w:hAnsi="Times New Roman" w:cs="Times New Roman"/>
          <w:sz w:val="24"/>
          <w:szCs w:val="24"/>
          <w:highlight w:val="green"/>
        </w:rPr>
        <w:t>Табл. 1</w:t>
      </w:r>
      <w:r>
        <w:rPr>
          <w:rFonts w:ascii="Times New Roman" w:hAnsi="Times New Roman" w:cs="Times New Roman"/>
          <w:sz w:val="24"/>
          <w:szCs w:val="24"/>
        </w:rPr>
        <w:t xml:space="preserve">). В верхней части этой пачки залегают зеленовато-серые горизонтально слоистые алевриты с линзами тонкозернистого песка, </w:t>
      </w:r>
      <w:r>
        <w:rPr>
          <w:rFonts w:ascii="Times New Roman" w:hAnsi="Times New Roman" w:cs="Times New Roman"/>
          <w:sz w:val="24"/>
          <w:szCs w:val="24"/>
          <w:highlight w:val="darkYellow"/>
        </w:rPr>
        <w:t xml:space="preserve">периостракумами раковин </w:t>
      </w:r>
      <w:r>
        <w:rPr>
          <w:rFonts w:ascii="Times New Roman" w:hAnsi="Times New Roman" w:cs="Times New Roman"/>
          <w:i/>
          <w:iCs/>
          <w:sz w:val="24"/>
          <w:szCs w:val="24"/>
          <w:highlight w:val="darkYellow"/>
          <w:lang w:val="en-GB"/>
        </w:rPr>
        <w:t>Portlandia</w:t>
      </w:r>
      <w:r>
        <w:rPr>
          <w:rFonts w:ascii="Times New Roman" w:hAnsi="Times New Roman" w:cs="Times New Roman"/>
          <w:sz w:val="24"/>
          <w:szCs w:val="24"/>
          <w:highlight w:val="darkYellow"/>
        </w:rPr>
        <w:t xml:space="preserve"> и трубками полихет</w:t>
      </w:r>
      <w:r>
        <w:rPr>
          <w:rFonts w:ascii="Times New Roman" w:hAnsi="Times New Roman" w:cs="Times New Roman"/>
          <w:sz w:val="24"/>
          <w:szCs w:val="24"/>
        </w:rPr>
        <w:t>.</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highlight w:val="blue"/>
          <w:shd w:val="clear" w:color="auto" w:fill="FFFFFF"/>
        </w:rPr>
        <w:t xml:space="preserve">Результаты диатомового анализа, выполненного для этих слоёв, показали, что крайне низкие концентрации (&lt;1 ÷ 5 тыс. ств./г) и состав диатомей (доминирование холодноводных эвригалинных видов </w:t>
      </w:r>
      <w:r>
        <w:rPr>
          <w:rFonts w:ascii="Times New Roman" w:hAnsi="Times New Roman" w:cs="Times New Roman"/>
          <w:i/>
          <w:iCs/>
          <w:sz w:val="24"/>
          <w:szCs w:val="24"/>
          <w:highlight w:val="blue"/>
          <w:shd w:val="clear" w:color="auto" w:fill="FFFFFF"/>
          <w:lang w:val="en-US"/>
        </w:rPr>
        <w:t>Chaetoceros</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holsaticus</w:t>
      </w:r>
      <w:r>
        <w:rPr>
          <w:rFonts w:ascii="Times New Roman" w:hAnsi="Times New Roman" w:cs="Times New Roman"/>
          <w:sz w:val="24"/>
          <w:szCs w:val="24"/>
          <w:highlight w:val="blue"/>
          <w:shd w:val="clear" w:color="auto" w:fill="FFFFFF"/>
        </w:rPr>
        <w:t xml:space="preserve"> и </w:t>
      </w:r>
      <w:r>
        <w:rPr>
          <w:rFonts w:ascii="Times New Roman" w:hAnsi="Times New Roman" w:cs="Times New Roman"/>
          <w:i/>
          <w:iCs/>
          <w:sz w:val="24"/>
          <w:szCs w:val="24"/>
          <w:highlight w:val="blue"/>
          <w:shd w:val="clear" w:color="auto" w:fill="FFFFFF"/>
          <w:lang w:val="en-US"/>
        </w:rPr>
        <w:t>C</w:t>
      </w:r>
      <w:r>
        <w:rPr>
          <w:rFonts w:ascii="Times New Roman" w:hAnsi="Times New Roman" w:cs="Times New Roman"/>
          <w:i/>
          <w:iCs/>
          <w:sz w:val="24"/>
          <w:szCs w:val="24"/>
          <w:highlight w:val="blue"/>
          <w:shd w:val="clear" w:color="auto" w:fill="FFFFFF"/>
        </w:rPr>
        <w:t>. </w:t>
      </w:r>
      <w:r>
        <w:rPr>
          <w:rFonts w:ascii="Times New Roman" w:hAnsi="Times New Roman" w:cs="Times New Roman"/>
          <w:i/>
          <w:iCs/>
          <w:sz w:val="24"/>
          <w:szCs w:val="24"/>
          <w:highlight w:val="blue"/>
          <w:shd w:val="clear" w:color="auto" w:fill="FFFFFF"/>
          <w:lang w:val="en-US"/>
        </w:rPr>
        <w:t>socialis</w:t>
      </w:r>
      <w:r>
        <w:rPr>
          <w:rFonts w:ascii="Times New Roman" w:hAnsi="Times New Roman" w:cs="Times New Roman"/>
          <w:sz w:val="24"/>
          <w:szCs w:val="24"/>
          <w:highlight w:val="blue"/>
          <w:shd w:val="clear" w:color="auto" w:fill="FFFFFF"/>
        </w:rPr>
        <w:t xml:space="preserve">, присутствие ледово-морских диатомей) свидетельствуют об осадконакоплении в низкопродуктивном </w:t>
      </w:r>
      <w:bookmarkStart w:id="0" w:name="_Hlk207803274"/>
      <w:r>
        <w:rPr>
          <w:rFonts w:ascii="Times New Roman" w:hAnsi="Times New Roman" w:cs="Times New Roman"/>
          <w:sz w:val="24"/>
          <w:szCs w:val="24"/>
          <w:highlight w:val="blue"/>
          <w:shd w:val="clear" w:color="auto" w:fill="FFFFFF"/>
        </w:rPr>
        <w:t>сильно опресненном ледовитом морском бассейне</w:t>
      </w:r>
      <w:bookmarkEnd w:id="0"/>
      <w:r>
        <w:rPr>
          <w:rFonts w:ascii="Times New Roman" w:hAnsi="Times New Roman" w:cs="Times New Roman"/>
          <w:sz w:val="24"/>
          <w:szCs w:val="24"/>
          <w:highlight w:val="blue"/>
          <w:shd w:val="clear" w:color="auto" w:fill="FFFFFF"/>
        </w:rPr>
        <w:t>. В верхней части пачки наблюдаются признаки уменьшения ледовитости и/или усиления гидродинамической активности, а также, вероятно, понижения уровня моря.</w:t>
      </w:r>
      <w:r>
        <w:rPr>
          <w:rFonts w:ascii="Times New Roman" w:hAnsi="Times New Roman" w:cs="Times New Roman"/>
          <w:color w:val="2C2D2E"/>
          <w:sz w:val="24"/>
          <w:szCs w:val="24"/>
          <w:shd w:val="clear" w:color="auto" w:fill="FFFFFF"/>
        </w:rPr>
        <w:t> </w:t>
      </w:r>
    </w:p>
    <w:p w14:paraId="6D759338">
      <w:pPr>
        <w:spacing w:after="0" w:line="24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В кровле разреза выделяется слой зеленовато-серой глины, насыщенной обломками раковин </w:t>
      </w:r>
      <w:r>
        <w:rPr>
          <w:rFonts w:ascii="Times New Roman" w:hAnsi="Times New Roman" w:cs="Times New Roman"/>
          <w:i/>
          <w:sz w:val="24"/>
          <w:szCs w:val="24"/>
          <w:highlight w:val="darkYellow"/>
          <w:lang w:val="en-US"/>
        </w:rPr>
        <w:t>Mytilus</w:t>
      </w:r>
      <w:r>
        <w:rPr>
          <w:rFonts w:ascii="Times New Roman" w:hAnsi="Times New Roman" w:cs="Times New Roman"/>
          <w:i/>
          <w:sz w:val="24"/>
          <w:szCs w:val="24"/>
          <w:highlight w:val="darkYellow"/>
        </w:rPr>
        <w:t xml:space="preserve"> </w:t>
      </w:r>
      <w:r>
        <w:rPr>
          <w:rFonts w:ascii="Times New Roman" w:hAnsi="Times New Roman" w:cs="Times New Roman"/>
          <w:i/>
          <w:sz w:val="24"/>
          <w:szCs w:val="24"/>
          <w:highlight w:val="darkYellow"/>
          <w:lang w:val="en-US"/>
        </w:rPr>
        <w:t>edulis</w:t>
      </w:r>
      <w:r>
        <w:rPr>
          <w:rFonts w:ascii="Times New Roman" w:hAnsi="Times New Roman" w:cs="Times New Roman"/>
          <w:sz w:val="24"/>
          <w:szCs w:val="24"/>
          <w:highlight w:val="darkYellow"/>
        </w:rPr>
        <w:t>, которые, по-видимому, формировали здесь мидиевую банку на литорали</w:t>
      </w:r>
      <w:r>
        <w:rPr>
          <w:rFonts w:ascii="Times New Roman" w:hAnsi="Times New Roman" w:cs="Times New Roman"/>
          <w:sz w:val="24"/>
          <w:szCs w:val="24"/>
        </w:rPr>
        <w:t xml:space="preserve">. По раковинам была получена радиоуглеродная дата 8860±40 (9445-9300 кал. л.н., ГИН-14683). </w:t>
      </w:r>
      <w:r>
        <w:rPr>
          <w:rFonts w:ascii="Times New Roman" w:hAnsi="Times New Roman" w:cs="Times New Roman"/>
          <w:sz w:val="24"/>
          <w:szCs w:val="24"/>
          <w:highlight w:val="blue"/>
        </w:rPr>
        <w:t xml:space="preserve">В этом слое </w:t>
      </w:r>
      <w:r>
        <w:rPr>
          <w:rFonts w:ascii="Times New Roman" w:hAnsi="Times New Roman" w:cs="Times New Roman"/>
          <w:sz w:val="24"/>
          <w:szCs w:val="24"/>
          <w:highlight w:val="blue"/>
          <w:shd w:val="clear" w:color="auto" w:fill="FFFFFF"/>
        </w:rPr>
        <w:t xml:space="preserve">концентрации диатомей низкие, 10-100 тыс. ств./г, доминируют бентосные и перифитонные солоновато-морские и пресноводно-солоноватоводные виды, которые также свидетельствуют о </w:t>
      </w:r>
      <w:bookmarkStart w:id="1" w:name="_Hlk207803309"/>
      <w:r>
        <w:rPr>
          <w:rFonts w:ascii="Times New Roman" w:hAnsi="Times New Roman" w:cs="Times New Roman"/>
          <w:sz w:val="24"/>
          <w:szCs w:val="24"/>
          <w:highlight w:val="blue"/>
          <w:shd w:val="clear" w:color="auto" w:fill="FFFFFF"/>
        </w:rPr>
        <w:t>литоральной обстановке осадконакопления</w:t>
      </w:r>
      <w:bookmarkEnd w:id="1"/>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Diploneis</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smithii</w:t>
      </w:r>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D</w:t>
      </w:r>
      <w:r>
        <w:rPr>
          <w:rFonts w:ascii="Times New Roman" w:hAnsi="Times New Roman" w:cs="Times New Roman"/>
          <w:i/>
          <w:iCs/>
          <w:sz w:val="24"/>
          <w:szCs w:val="24"/>
          <w:highlight w:val="blue"/>
          <w:shd w:val="clear" w:color="auto" w:fill="FFFFFF"/>
        </w:rPr>
        <w:t>.</w:t>
      </w:r>
      <w:r>
        <w:rPr>
          <w:rFonts w:ascii="Times New Roman" w:hAnsi="Times New Roman" w:cs="Times New Roman"/>
          <w:i/>
          <w:iCs/>
          <w:sz w:val="24"/>
          <w:szCs w:val="24"/>
          <w:highlight w:val="blue"/>
          <w:shd w:val="clear" w:color="auto" w:fill="FFFFFF"/>
          <w:lang w:val="en-US"/>
        </w:rPr>
        <w:t> didyma</w:t>
      </w:r>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Achnanthes</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arctica</w:t>
      </w:r>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Tryblionella</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punctata</w:t>
      </w:r>
      <w:r>
        <w:rPr>
          <w:rFonts w:ascii="Times New Roman" w:hAnsi="Times New Roman" w:cs="Times New Roman"/>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Caloneis</w:t>
      </w:r>
      <w:r>
        <w:rPr>
          <w:rFonts w:ascii="Times New Roman" w:hAnsi="Times New Roman" w:cs="Times New Roman"/>
          <w:i/>
          <w:iCs/>
          <w:sz w:val="24"/>
          <w:szCs w:val="24"/>
          <w:highlight w:val="blue"/>
          <w:shd w:val="clear" w:color="auto" w:fill="FFFFFF"/>
        </w:rPr>
        <w:t xml:space="preserve"> </w:t>
      </w:r>
      <w:r>
        <w:rPr>
          <w:rFonts w:ascii="Times New Roman" w:hAnsi="Times New Roman" w:cs="Times New Roman"/>
          <w:i/>
          <w:iCs/>
          <w:sz w:val="24"/>
          <w:szCs w:val="24"/>
          <w:highlight w:val="blue"/>
          <w:shd w:val="clear" w:color="auto" w:fill="FFFFFF"/>
          <w:lang w:val="en-US"/>
        </w:rPr>
        <w:t>lancettula</w:t>
      </w:r>
      <w:r>
        <w:rPr>
          <w:rFonts w:ascii="Times New Roman" w:hAnsi="Times New Roman" w:cs="Times New Roman"/>
          <w:sz w:val="24"/>
          <w:szCs w:val="24"/>
          <w:highlight w:val="blue"/>
          <w:shd w:val="clear" w:color="auto" w:fill="FFFFFF"/>
        </w:rPr>
        <w:t xml:space="preserve"> и др.</w:t>
      </w:r>
    </w:p>
    <w:p w14:paraId="529DADB9">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Морские осадки прислонены к геологическому телу, сложенному окатанным валунно-галечным материалом с неявной слоистостью. Этот крупнообломочный материал отражает строение гребневой части вытянутой субширотно гряды.</w:t>
      </w:r>
    </w:p>
    <w:p w14:paraId="061E7F15">
      <w:pPr>
        <w:spacing w:after="0" w:line="240" w:lineRule="auto"/>
        <w:ind w:firstLine="709"/>
        <w:jc w:val="both"/>
        <w:rPr>
          <w:rFonts w:ascii="Times New Roman" w:hAnsi="Times New Roman" w:cs="Times New Roman"/>
          <w:iCs/>
          <w:sz w:val="24"/>
          <w:szCs w:val="24"/>
        </w:rPr>
      </w:pPr>
      <w:r>
        <w:rPr>
          <w:rFonts w:ascii="Times New Roman" w:hAnsi="Times New Roman" w:cs="Times New Roman"/>
          <w:sz w:val="24"/>
          <w:szCs w:val="24"/>
        </w:rPr>
        <w:t xml:space="preserve">На периферии гряды </w:t>
      </w:r>
      <w:r>
        <w:rPr>
          <w:rFonts w:ascii="Times New Roman" w:hAnsi="Times New Roman" w:cs="Times New Roman"/>
          <w:bCs/>
          <w:iCs/>
          <w:sz w:val="24"/>
          <w:szCs w:val="24"/>
        </w:rPr>
        <w:t>в южной стенке карьера</w:t>
      </w:r>
      <w:r>
        <w:rPr>
          <w:rFonts w:ascii="Times New Roman" w:hAnsi="Times New Roman" w:cs="Times New Roman"/>
          <w:sz w:val="24"/>
          <w:szCs w:val="24"/>
        </w:rPr>
        <w:t xml:space="preserve"> (</w:t>
      </w:r>
      <w:r>
        <w:rPr>
          <w:rFonts w:ascii="Times New Roman" w:hAnsi="Times New Roman" w:cs="Times New Roman"/>
          <w:sz w:val="24"/>
          <w:szCs w:val="24"/>
          <w:highlight w:val="green"/>
        </w:rPr>
        <w:t>Рис. 3в</w:t>
      </w:r>
      <w:r>
        <w:rPr>
          <w:rFonts w:ascii="Times New Roman" w:hAnsi="Times New Roman" w:cs="Times New Roman"/>
          <w:sz w:val="24"/>
          <w:szCs w:val="24"/>
        </w:rPr>
        <w:t xml:space="preserve">) вскрыт гравийно-галечный материал с валунами и серым песком, слоистый за счет прослоев с разным содержанием гальки, а также за счет линз крупнозернистого песка с гравием. Слоистость падает в юго-восточном направлении. Выше по разрезу залегают пески серого цвета, мелко- и среднезернистые с прослоями песков крупнозернистых с гравием и галькой. Слоистость в этой толще мощностью до 4.6 м - крупнолинзовидная, с падением в восточном и юго-восточном направлении. Угол наклона линз в слое постепенно убывает в восточном направлении. Над этой пачкой залегают субгоризонтально слоистые тонко- и мелкозернистые пески, с прослоями алевритов, в целом аналогичные осадкам юго-восточной стенки карьера. </w:t>
      </w:r>
    </w:p>
    <w:p w14:paraId="5AFDF92E">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К югу от карьера во впадине между гребнями двух озовых гряд в гляциокарстовой котловине на отметке 48.6 м н.у.м. расположено небольшое озеро глубиной до 1,5 м (</w:t>
      </w:r>
      <w:r>
        <w:rPr>
          <w:rFonts w:ascii="Times New Roman" w:hAnsi="Times New Roman" w:cs="Times New Roman"/>
          <w:sz w:val="24"/>
          <w:szCs w:val="24"/>
          <w:highlight w:val="green"/>
        </w:rPr>
        <w:t>Рис. 2</w:t>
      </w:r>
      <w:r>
        <w:rPr>
          <w:rFonts w:ascii="Times New Roman" w:hAnsi="Times New Roman" w:cs="Times New Roman"/>
          <w:sz w:val="24"/>
          <w:szCs w:val="24"/>
        </w:rPr>
        <w:t>). Строение разреза донных осадков сверху вниз следующее: 1.5–6.07 м – торф, к низу очень плотный, нижняя граница резкая и чёткая; 6.07–6.25 м – гиттия тёмно-коричневая, очень плотная, органогенная, в нижней части – слоистая, которая, согласно результатам радиоуглеродного датирования накапливалась в период 7600-6000 кал.л.н. (</w:t>
      </w:r>
      <w:r>
        <w:rPr>
          <w:rFonts w:ascii="Times New Roman" w:hAnsi="Times New Roman" w:cs="Times New Roman"/>
          <w:sz w:val="24"/>
          <w:szCs w:val="24"/>
          <w:highlight w:val="green"/>
        </w:rPr>
        <w:t>Табл. 2</w:t>
      </w:r>
      <w:r>
        <w:rPr>
          <w:rFonts w:ascii="Times New Roman" w:hAnsi="Times New Roman" w:cs="Times New Roman"/>
          <w:sz w:val="24"/>
          <w:szCs w:val="24"/>
        </w:rPr>
        <w:t xml:space="preserve">); 6.25–6.46 м – глина алевритистая с примесью тонкозернистого песка, серая с зеленовато-бурым оттенком, с рассеянной органикой, пластичная, хорошо прослеживается градационная слоистость. </w:t>
      </w:r>
      <w:r>
        <w:rPr>
          <w:rFonts w:ascii="Times New Roman" w:hAnsi="Times New Roman" w:cs="Times New Roman"/>
          <w:sz w:val="24"/>
          <w:szCs w:val="24"/>
          <w:highlight w:val="blue"/>
        </w:rPr>
        <w:t xml:space="preserve">По предварительным результатам диатомового анализа наблюдается постепенный переход от </w:t>
      </w:r>
      <w:bookmarkStart w:id="2" w:name="_Hlk207803699"/>
      <w:r>
        <w:rPr>
          <w:rFonts w:ascii="Times New Roman" w:hAnsi="Times New Roman" w:cs="Times New Roman"/>
          <w:sz w:val="24"/>
          <w:szCs w:val="24"/>
          <w:highlight w:val="blue"/>
        </w:rPr>
        <w:t xml:space="preserve">морского к пресноводному </w:t>
      </w:r>
      <w:bookmarkEnd w:id="2"/>
      <w:r>
        <w:rPr>
          <w:rFonts w:ascii="Times New Roman" w:hAnsi="Times New Roman" w:cs="Times New Roman"/>
          <w:sz w:val="24"/>
          <w:szCs w:val="24"/>
          <w:highlight w:val="blue"/>
        </w:rPr>
        <w:t>комплексу: до глубины 6.29 м доминируют морские и солоноватоводные виды диатомей, с глубины 6.2 м – пресноводные виды, в интервале 6.20-6.29 м состав диатомовых ассоциаций смешанный</w:t>
      </w:r>
      <w:r>
        <w:rPr>
          <w:rFonts w:ascii="Times New Roman" w:hAnsi="Times New Roman" w:cs="Times New Roman"/>
          <w:sz w:val="24"/>
          <w:szCs w:val="24"/>
        </w:rPr>
        <w:t>.</w:t>
      </w:r>
    </w:p>
    <w:p w14:paraId="5C4D4E86">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Что ещё сюда можно добавить?</w:t>
      </w:r>
    </w:p>
    <w:p w14:paraId="0E4B6839">
      <w:pPr>
        <w:spacing w:after="0" w:line="240" w:lineRule="auto"/>
        <w:ind w:firstLine="709"/>
        <w:jc w:val="both"/>
        <w:rPr>
          <w:rFonts w:ascii="Times New Roman" w:hAnsi="Times New Roman" w:cs="Times New Roman"/>
          <w:sz w:val="24"/>
          <w:szCs w:val="24"/>
        </w:rPr>
      </w:pPr>
    </w:p>
    <w:p w14:paraId="4AF3B695">
      <w:pPr>
        <w:spacing w:after="0" w:line="240" w:lineRule="auto"/>
        <w:ind w:firstLine="709"/>
        <w:jc w:val="both"/>
        <w:rPr>
          <w:rFonts w:hint="default" w:ascii="Times New Roman" w:hAnsi="Times New Roman" w:cs="Times New Roman"/>
          <w:sz w:val="24"/>
          <w:szCs w:val="24"/>
          <w:highlight w:val="darkGreen"/>
          <w:lang w:val="ru-RU"/>
        </w:rPr>
      </w:pPr>
      <w:r>
        <w:rPr>
          <w:rFonts w:hint="default" w:ascii="Times New Roman" w:hAnsi="Times New Roman" w:cs="Times New Roman"/>
          <w:sz w:val="24"/>
          <w:szCs w:val="24"/>
          <w:highlight w:val="darkGreen"/>
          <w:lang w:val="ru-RU"/>
        </w:rPr>
        <w:t xml:space="preserve">Вертикальное распределение субфоссилий донных беспозвоночных </w:t>
      </w:r>
    </w:p>
    <w:p w14:paraId="37F41D9E">
      <w:pPr>
        <w:spacing w:after="0" w:line="240" w:lineRule="auto"/>
        <w:ind w:firstLine="709"/>
        <w:jc w:val="both"/>
        <w:rPr>
          <w:rFonts w:hint="default" w:ascii="Times New Roman" w:hAnsi="Times New Roman" w:cs="Times New Roman"/>
          <w:sz w:val="24"/>
          <w:szCs w:val="24"/>
          <w:highlight w:val="darkGreen"/>
          <w:lang w:val="ru-RU"/>
        </w:rPr>
      </w:pPr>
    </w:p>
    <w:p w14:paraId="66EE835A">
      <w:pPr>
        <w:spacing w:after="0" w:line="240" w:lineRule="auto"/>
        <w:ind w:firstLine="709"/>
        <w:jc w:val="both"/>
        <w:rPr>
          <w:rFonts w:hint="default" w:ascii="Times New Roman" w:hAnsi="Times New Roman"/>
          <w:sz w:val="24"/>
          <w:szCs w:val="24"/>
          <w:highlight w:val="darkGreen"/>
          <w:lang w:val="ru-RU"/>
        </w:rPr>
      </w:pPr>
      <w:r>
        <w:rPr>
          <w:rFonts w:hint="default" w:ascii="Times New Roman" w:hAnsi="Times New Roman" w:cs="Times New Roman"/>
          <w:sz w:val="24"/>
          <w:szCs w:val="24"/>
          <w:highlight w:val="darkGreen"/>
          <w:lang w:val="ru-RU"/>
        </w:rPr>
        <w:t xml:space="preserve">Схема разреза приведена в таблице  ++.  Самые нижние (наиболее древние) слои изученной части разреза (глубина 240 см) занимает морена, сложенная крупными камнями и валунами. Чуть выше этой морены (глубина 200-210 см) располагается слой, состоящий из более мелких камней, пространство между которыми заполенно мелкодиспесными осадками. Вокруг камней и валунов морены наблюдаются ожелезненные участки, часто сопряженные с присутствием с трубок полихет, прилегающих к камням (рис. ++). Среди рецентных сообществ Белого моря такое сочетание субстрата и трубок полихет наблюдается на дне салм с мощным проточным режимом. Самыми многочисленными полихетами, чьи трубки, как правило, прикреплены к поверхности камней, в таких сообществах являются представительи семейства </w:t>
      </w:r>
      <w:r>
        <w:rPr>
          <w:rFonts w:hint="default" w:ascii="Times New Roman" w:hAnsi="Times New Roman" w:cs="Times New Roman"/>
          <w:sz w:val="24"/>
          <w:szCs w:val="24"/>
          <w:highlight w:val="darkGreen"/>
          <w:lang w:val="en-US"/>
        </w:rPr>
        <w:t xml:space="preserve">Maldanidae - </w:t>
      </w:r>
      <w:r>
        <w:rPr>
          <w:rFonts w:hint="default" w:ascii="Times New Roman" w:hAnsi="Times New Roman" w:cs="Times New Roman"/>
          <w:i/>
          <w:iCs/>
          <w:sz w:val="24"/>
          <w:szCs w:val="24"/>
          <w:highlight w:val="darkGreen"/>
          <w:lang w:val="en-US"/>
        </w:rPr>
        <w:t>Nicomache minor</w:t>
      </w:r>
      <w:r>
        <w:rPr>
          <w:rFonts w:hint="default" w:ascii="Times New Roman" w:hAnsi="Times New Roman" w:cs="Times New Roman"/>
          <w:sz w:val="24"/>
          <w:szCs w:val="24"/>
          <w:highlight w:val="darkGreen"/>
          <w:lang w:val="en-US"/>
        </w:rPr>
        <w:t xml:space="preserve"> </w:t>
      </w:r>
      <w:r>
        <w:rPr>
          <w:rFonts w:hint="default" w:ascii="Times New Roman" w:hAnsi="Times New Roman"/>
          <w:sz w:val="24"/>
          <w:szCs w:val="24"/>
          <w:highlight w:val="darkGreen"/>
          <w:lang w:val="en-US"/>
        </w:rPr>
        <w:t>Arwidsson, 1906</w:t>
      </w:r>
      <w:r>
        <w:rPr>
          <w:rFonts w:hint="default" w:ascii="Times New Roman" w:hAnsi="Times New Roman"/>
          <w:sz w:val="24"/>
          <w:szCs w:val="24"/>
          <w:highlight w:val="darkGreen"/>
          <w:lang w:val="ru-RU"/>
        </w:rPr>
        <w:t xml:space="preserve"> (ссылка +++)</w:t>
      </w:r>
      <w:r>
        <w:rPr>
          <w:rFonts w:hint="default" w:ascii="Times New Roman" w:hAnsi="Times New Roman"/>
          <w:sz w:val="24"/>
          <w:szCs w:val="24"/>
          <w:highlight w:val="darkGreen"/>
          <w:lang w:val="en-US"/>
        </w:rPr>
        <w:t xml:space="preserve">. </w:t>
      </w:r>
      <w:r>
        <w:rPr>
          <w:rFonts w:hint="default" w:ascii="Times New Roman" w:hAnsi="Times New Roman"/>
          <w:sz w:val="24"/>
          <w:szCs w:val="24"/>
          <w:highlight w:val="darkGreen"/>
          <w:lang w:val="ru-RU"/>
        </w:rPr>
        <w:t xml:space="preserve">По своим размерам, материалу и характерному ожелезнению обнаруженные трубки вполне соответствуют наблюдаемым в данном участке разреза субфоссилиям. </w:t>
      </w:r>
    </w:p>
    <w:p w14:paraId="72CA1448">
      <w:pPr>
        <w:spacing w:after="0" w:line="240" w:lineRule="auto"/>
        <w:ind w:firstLine="709"/>
        <w:jc w:val="both"/>
        <w:rPr>
          <w:rFonts w:hint="default" w:ascii="Times New Roman" w:hAnsi="Times New Roman"/>
          <w:sz w:val="24"/>
          <w:szCs w:val="24"/>
          <w:highlight w:val="darkGreen"/>
          <w:lang w:val="ru-RU"/>
        </w:rPr>
      </w:pPr>
      <w:r>
        <w:rPr>
          <w:rFonts w:hint="default" w:ascii="Times New Roman" w:hAnsi="Times New Roman"/>
          <w:sz w:val="24"/>
          <w:szCs w:val="24"/>
          <w:highlight w:val="darkGreen"/>
          <w:lang w:val="ru-RU"/>
        </w:rPr>
        <w:t>Выше описанного слоя располагается слой (180-200 см) серых отложений лишенный останков макроорганизмов.</w:t>
      </w:r>
    </w:p>
    <w:p w14:paraId="75BE9F30">
      <w:pPr>
        <w:spacing w:after="0" w:line="240" w:lineRule="auto"/>
        <w:ind w:firstLine="709"/>
        <w:jc w:val="both"/>
        <w:rPr>
          <w:rFonts w:hint="default" w:ascii="Times New Roman" w:hAnsi="Times New Roman"/>
          <w:sz w:val="24"/>
          <w:szCs w:val="24"/>
          <w:highlight w:val="darkGreen"/>
          <w:lang w:val="ru-RU"/>
        </w:rPr>
      </w:pPr>
      <w:r>
        <w:rPr>
          <w:rFonts w:hint="default" w:ascii="Times New Roman" w:hAnsi="Times New Roman"/>
          <w:sz w:val="24"/>
          <w:szCs w:val="24"/>
          <w:highlight w:val="darkGreen"/>
          <w:lang w:val="ru-RU"/>
        </w:rPr>
        <w:t xml:space="preserve">  Далее на глубине (60-180 см) располагается слой с богато представленными субфоссилиями. Здесь отмечаются многочисленные рыжеватые слои, сменяющиеся более светлыми слоями (рис. ++). Это можно трактовать как результат постепенного накопления осадка на участке с низкой скоростью придонных течений (возможно в месте, где формировались отложения данного разреза, была яма). В таких отложениях чередуются слои  окислительных (на поверхности грунта) и восстановистельных (толща грунта) условий. </w:t>
      </w:r>
    </w:p>
    <w:p w14:paraId="1C716E65">
      <w:pPr>
        <w:spacing w:after="0" w:line="240" w:lineRule="auto"/>
        <w:ind w:firstLine="709"/>
        <w:jc w:val="both"/>
        <w:rPr>
          <w:rFonts w:hint="default" w:ascii="Times New Roman" w:hAnsi="Times New Roman"/>
          <w:sz w:val="24"/>
          <w:szCs w:val="24"/>
          <w:highlight w:val="darkGreen"/>
          <w:lang w:val="ru-RU"/>
        </w:rPr>
      </w:pPr>
      <w:r>
        <w:rPr>
          <w:rFonts w:hint="default" w:ascii="Times New Roman" w:hAnsi="Times New Roman"/>
          <w:sz w:val="24"/>
          <w:szCs w:val="24"/>
          <w:highlight w:val="darkGreen"/>
          <w:lang w:val="ru-RU"/>
        </w:rPr>
        <w:t xml:space="preserve">В нижней части описываемой части разреза (90-180 см) в большом количестве представлены трубки полихет с очень характерной чередующейся укладкой светлых и темных частиц (Рис. ++). Аналогичную структуру демонстрируют очень плотные, устойчивые к механическому разрушению, трубки  червей из семейства </w:t>
      </w:r>
      <w:r>
        <w:rPr>
          <w:rFonts w:hint="default" w:ascii="Times New Roman" w:hAnsi="Times New Roman"/>
          <w:sz w:val="24"/>
          <w:szCs w:val="24"/>
          <w:highlight w:val="darkGreen"/>
          <w:lang w:val="en-US"/>
        </w:rPr>
        <w:t xml:space="preserve">Oweniidse - </w:t>
      </w:r>
      <w:r>
        <w:rPr>
          <w:rFonts w:hint="default" w:ascii="Times New Roman" w:hAnsi="Times New Roman"/>
          <w:i/>
          <w:iCs/>
          <w:sz w:val="24"/>
          <w:szCs w:val="24"/>
          <w:highlight w:val="darkGreen"/>
          <w:lang w:val="en-US"/>
        </w:rPr>
        <w:t>Galathowenia oculata</w:t>
      </w:r>
      <w:r>
        <w:rPr>
          <w:rFonts w:hint="default" w:ascii="Times New Roman" w:hAnsi="Times New Roman"/>
          <w:sz w:val="24"/>
          <w:szCs w:val="24"/>
          <w:highlight w:val="darkGreen"/>
          <w:lang w:val="en-US"/>
        </w:rPr>
        <w:t xml:space="preserve"> (Zachs, 1923). </w:t>
      </w:r>
      <w:r>
        <w:rPr>
          <w:rFonts w:hint="default" w:ascii="Times New Roman" w:hAnsi="Times New Roman"/>
          <w:sz w:val="24"/>
          <w:szCs w:val="24"/>
          <w:highlight w:val="darkGreen"/>
          <w:lang w:val="ru-RU"/>
        </w:rPr>
        <w:t xml:space="preserve">Эти черви крайне характерны для сообществ тонких илов высокой Арктики, где они встречаются в ассоциации с двустворчатыми моллюсками семейства </w:t>
      </w:r>
      <w:r>
        <w:rPr>
          <w:rFonts w:hint="default" w:ascii="Times New Roman" w:hAnsi="Times New Roman"/>
          <w:sz w:val="24"/>
          <w:szCs w:val="24"/>
          <w:highlight w:val="darkGreen"/>
          <w:lang w:val="en-US"/>
        </w:rPr>
        <w:t>Yoldiidae</w:t>
      </w:r>
      <w:r>
        <w:rPr>
          <w:rFonts w:hint="default" w:ascii="Times New Roman" w:hAnsi="Times New Roman"/>
          <w:sz w:val="24"/>
          <w:szCs w:val="24"/>
          <w:highlight w:val="darkGreen"/>
          <w:lang w:val="ru-RU"/>
        </w:rPr>
        <w:t xml:space="preserve"> (ссылка ++)</w:t>
      </w:r>
      <w:r>
        <w:rPr>
          <w:rFonts w:hint="default" w:ascii="Times New Roman" w:hAnsi="Times New Roman"/>
          <w:sz w:val="24"/>
          <w:szCs w:val="24"/>
          <w:highlight w:val="darkGreen"/>
          <w:lang w:val="en-US"/>
        </w:rPr>
        <w:t xml:space="preserve">. </w:t>
      </w:r>
      <w:r>
        <w:rPr>
          <w:rFonts w:hint="default" w:ascii="Times New Roman" w:hAnsi="Times New Roman"/>
          <w:sz w:val="24"/>
          <w:szCs w:val="24"/>
          <w:highlight w:val="darkGreen"/>
          <w:lang w:val="ru-RU"/>
        </w:rPr>
        <w:t xml:space="preserve">В грунте колвицкого разреза отмечены многочисленные фрагменты и практические целые периостракумы моллюсков из этого семейства (рис. ++). Однако надежную видовую идентификацию по таким останкам провести невозможно. Вместе с тем, в условиях Белого моря, наиболее обильными представителями семейства </w:t>
      </w:r>
      <w:r>
        <w:rPr>
          <w:rFonts w:hint="default" w:ascii="Times New Roman" w:hAnsi="Times New Roman"/>
          <w:sz w:val="24"/>
          <w:szCs w:val="24"/>
          <w:highlight w:val="darkGreen"/>
          <w:lang w:val="en-US"/>
        </w:rPr>
        <w:t>Yoldiidae</w:t>
      </w:r>
      <w:r>
        <w:rPr>
          <w:rFonts w:hint="default" w:ascii="Times New Roman" w:hAnsi="Times New Roman"/>
          <w:sz w:val="24"/>
          <w:szCs w:val="24"/>
          <w:highlight w:val="darkGreen"/>
          <w:lang w:val="ru-RU"/>
        </w:rPr>
        <w:t xml:space="preserve"> являются </w:t>
      </w:r>
      <w:r>
        <w:rPr>
          <w:rFonts w:hint="default" w:ascii="Times New Roman" w:hAnsi="Times New Roman"/>
          <w:i/>
          <w:iCs/>
          <w:sz w:val="24"/>
          <w:szCs w:val="24"/>
          <w:highlight w:val="darkGreen"/>
          <w:lang w:val="en-US"/>
        </w:rPr>
        <w:t xml:space="preserve">Portlandia arctica </w:t>
      </w:r>
      <w:r>
        <w:rPr>
          <w:rFonts w:hint="default" w:ascii="Times New Roman" w:hAnsi="Times New Roman"/>
          <w:sz w:val="24"/>
          <w:szCs w:val="24"/>
          <w:highlight w:val="darkGreen"/>
          <w:lang w:val="en-US"/>
        </w:rPr>
        <w:t>(J. E. Gray, 1824)</w:t>
      </w:r>
      <w:r>
        <w:rPr>
          <w:rFonts w:hint="default" w:ascii="Times New Roman" w:hAnsi="Times New Roman"/>
          <w:sz w:val="24"/>
          <w:szCs w:val="24"/>
          <w:highlight w:val="darkGreen"/>
          <w:lang w:val="ru-RU"/>
        </w:rPr>
        <w:t xml:space="preserve"> (ссылка +++)</w:t>
      </w:r>
      <w:r>
        <w:rPr>
          <w:rFonts w:hint="default" w:ascii="Times New Roman" w:hAnsi="Times New Roman"/>
          <w:sz w:val="24"/>
          <w:szCs w:val="24"/>
          <w:highlight w:val="darkGreen"/>
          <w:lang w:val="en-US"/>
        </w:rPr>
        <w:t xml:space="preserve">. </w:t>
      </w:r>
      <w:r>
        <w:rPr>
          <w:rFonts w:hint="default" w:ascii="Times New Roman" w:hAnsi="Times New Roman"/>
          <w:sz w:val="24"/>
          <w:szCs w:val="24"/>
          <w:highlight w:val="darkGreen"/>
          <w:lang w:val="ru-RU"/>
        </w:rPr>
        <w:t>Форма периостракомов обнаруженных субфоссилий очень близка к форме раковины этого вида (рис. ++).</w:t>
      </w:r>
    </w:p>
    <w:p w14:paraId="67086321">
      <w:pPr>
        <w:spacing w:after="0" w:line="240" w:lineRule="auto"/>
        <w:ind w:firstLine="709"/>
        <w:jc w:val="both"/>
        <w:rPr>
          <w:rFonts w:hint="default" w:ascii="Times New Roman" w:hAnsi="Times New Roman"/>
          <w:sz w:val="24"/>
          <w:szCs w:val="24"/>
          <w:highlight w:val="darkGreen"/>
          <w:lang w:val="en-US"/>
        </w:rPr>
      </w:pPr>
      <w:r>
        <w:rPr>
          <w:rFonts w:hint="default" w:ascii="Times New Roman" w:hAnsi="Times New Roman"/>
          <w:sz w:val="24"/>
          <w:szCs w:val="24"/>
          <w:highlight w:val="darkGreen"/>
          <w:lang w:val="ru-RU"/>
        </w:rPr>
        <w:t>Выше слоев описанного комплекса, без резкого перехода, располагается слой</w:t>
      </w:r>
      <w:r>
        <w:rPr>
          <w:rFonts w:hint="default" w:ascii="Times New Roman" w:hAnsi="Times New Roman"/>
          <w:sz w:val="24"/>
          <w:szCs w:val="24"/>
          <w:highlight w:val="darkGreen"/>
          <w:lang w:val="en-US"/>
        </w:rPr>
        <w:t xml:space="preserve"> (</w:t>
      </w:r>
      <w:r>
        <w:rPr>
          <w:rFonts w:hint="default" w:ascii="Times New Roman" w:hAnsi="Times New Roman"/>
          <w:sz w:val="24"/>
          <w:szCs w:val="24"/>
          <w:highlight w:val="darkGreen"/>
          <w:lang w:val="ru-RU"/>
        </w:rPr>
        <w:t>6</w:t>
      </w:r>
      <w:r>
        <w:rPr>
          <w:rFonts w:hint="default" w:ascii="Times New Roman" w:hAnsi="Times New Roman"/>
          <w:sz w:val="24"/>
          <w:szCs w:val="24"/>
          <w:highlight w:val="darkGreen"/>
          <w:lang w:val="en-US"/>
        </w:rPr>
        <w:t xml:space="preserve">0-90 </w:t>
      </w:r>
      <w:r>
        <w:rPr>
          <w:rFonts w:hint="default" w:ascii="Times New Roman" w:hAnsi="Times New Roman"/>
          <w:sz w:val="24"/>
          <w:szCs w:val="24"/>
          <w:highlight w:val="darkGreen"/>
          <w:lang w:val="ru-RU"/>
        </w:rPr>
        <w:t>см</w:t>
      </w:r>
      <w:r>
        <w:rPr>
          <w:rFonts w:hint="default" w:ascii="Times New Roman" w:hAnsi="Times New Roman"/>
          <w:sz w:val="24"/>
          <w:szCs w:val="24"/>
          <w:highlight w:val="darkGreen"/>
          <w:lang w:val="en-US"/>
        </w:rPr>
        <w:t>)</w:t>
      </w:r>
      <w:r>
        <w:rPr>
          <w:rFonts w:hint="default" w:ascii="Times New Roman" w:hAnsi="Times New Roman"/>
          <w:sz w:val="24"/>
          <w:szCs w:val="24"/>
          <w:highlight w:val="darkGreen"/>
          <w:lang w:val="ru-RU"/>
        </w:rPr>
        <w:t xml:space="preserve">, в котором наиболее частыми субфоссилиями оказываются трубки мелких полихет (Рис. +++). Помимо них в этом участке разреза часто встречаются «ядра», сформировавшиеся между створками  двустворчатых моллюсков. Кальцинированных останков раковин обнаружить не удалось. Вместе с тем, форма этих «ядер» (рис. ++) соответствуют форме раковины </w:t>
      </w:r>
      <w:r>
        <w:rPr>
          <w:rFonts w:hint="default" w:ascii="Times New Roman" w:hAnsi="Times New Roman"/>
          <w:i/>
          <w:iCs/>
          <w:sz w:val="24"/>
          <w:szCs w:val="24"/>
          <w:highlight w:val="darkGreen"/>
          <w:lang w:val="en-US"/>
        </w:rPr>
        <w:t>Macoma sp</w:t>
      </w:r>
      <w:r>
        <w:rPr>
          <w:rFonts w:hint="default" w:ascii="Times New Roman" w:hAnsi="Times New Roman"/>
          <w:sz w:val="24"/>
          <w:szCs w:val="24"/>
          <w:highlight w:val="darkGreen"/>
          <w:lang w:val="ru-RU"/>
        </w:rPr>
        <w:t>. В современной фауне Белого моря мягкие грунты верхних отделов сублиторали Белого моря заселяют два вида</w:t>
      </w:r>
      <w:r>
        <w:rPr>
          <w:rFonts w:hint="default" w:ascii="Times New Roman" w:hAnsi="Times New Roman"/>
          <w:sz w:val="24"/>
          <w:szCs w:val="24"/>
          <w:highlight w:val="darkGreen"/>
          <w:lang w:val="en-US"/>
        </w:rPr>
        <w:t xml:space="preserve"> </w:t>
      </w:r>
      <w:r>
        <w:rPr>
          <w:rFonts w:hint="default" w:ascii="Times New Roman" w:hAnsi="Times New Roman"/>
          <w:i/>
          <w:iCs/>
          <w:sz w:val="24"/>
          <w:szCs w:val="24"/>
          <w:highlight w:val="darkGreen"/>
          <w:lang w:val="en-US"/>
        </w:rPr>
        <w:t>M. balthica</w:t>
      </w:r>
      <w:r>
        <w:rPr>
          <w:rFonts w:hint="default" w:ascii="Times New Roman" w:hAnsi="Times New Roman"/>
          <w:sz w:val="24"/>
          <w:szCs w:val="24"/>
          <w:highlight w:val="darkGreen"/>
          <w:lang w:val="en-US"/>
        </w:rPr>
        <w:t xml:space="preserve"> </w:t>
      </w:r>
      <w:r>
        <w:rPr>
          <w:rFonts w:hint="default" w:ascii="Times New Roman" w:hAnsi="Times New Roman"/>
          <w:sz w:val="24"/>
          <w:szCs w:val="24"/>
          <w:highlight w:val="darkGreen"/>
          <w:lang w:val="ru-RU"/>
        </w:rPr>
        <w:t xml:space="preserve">и </w:t>
      </w:r>
      <w:r>
        <w:rPr>
          <w:rFonts w:hint="default" w:ascii="Times New Roman" w:hAnsi="Times New Roman"/>
          <w:sz w:val="24"/>
          <w:szCs w:val="24"/>
          <w:highlight w:val="darkGreen"/>
          <w:lang w:val="en-US"/>
        </w:rPr>
        <w:t xml:space="preserve"> </w:t>
      </w:r>
      <w:r>
        <w:rPr>
          <w:rFonts w:hint="default" w:ascii="Times New Roman" w:hAnsi="Times New Roman"/>
          <w:i/>
          <w:iCs/>
          <w:sz w:val="24"/>
          <w:szCs w:val="24"/>
          <w:highlight w:val="darkGreen"/>
          <w:lang w:val="en-US"/>
        </w:rPr>
        <w:t>M. calcarea</w:t>
      </w:r>
      <w:r>
        <w:rPr>
          <w:rFonts w:hint="default" w:ascii="Times New Roman" w:hAnsi="Times New Roman"/>
          <w:sz w:val="24"/>
          <w:szCs w:val="24"/>
          <w:highlight w:val="darkGreen"/>
          <w:lang w:val="ru-RU"/>
        </w:rPr>
        <w:t>, где</w:t>
      </w:r>
      <w:r>
        <w:rPr>
          <w:rFonts w:hint="default" w:ascii="Times New Roman" w:hAnsi="Times New Roman"/>
          <w:sz w:val="24"/>
          <w:szCs w:val="24"/>
          <w:highlight w:val="darkGreen"/>
          <w:lang w:val="en-US"/>
        </w:rPr>
        <w:t xml:space="preserve"> </w:t>
      </w:r>
      <w:r>
        <w:rPr>
          <w:rFonts w:hint="default" w:ascii="Times New Roman" w:hAnsi="Times New Roman"/>
          <w:sz w:val="24"/>
          <w:szCs w:val="24"/>
          <w:highlight w:val="darkGreen"/>
          <w:lang w:val="ru-RU"/>
        </w:rPr>
        <w:t xml:space="preserve">эти два вида формируют ассоциацию с полихетами семейства </w:t>
      </w:r>
      <w:r>
        <w:rPr>
          <w:rFonts w:hint="default" w:ascii="Times New Roman" w:hAnsi="Times New Roman"/>
          <w:sz w:val="24"/>
          <w:szCs w:val="24"/>
          <w:highlight w:val="darkGreen"/>
          <w:lang w:val="en-US"/>
        </w:rPr>
        <w:t xml:space="preserve">Spionidae. </w:t>
      </w:r>
      <w:r>
        <w:rPr>
          <w:rFonts w:hint="default" w:ascii="Times New Roman" w:hAnsi="Times New Roman"/>
          <w:sz w:val="24"/>
          <w:szCs w:val="24"/>
          <w:highlight w:val="darkGreen"/>
          <w:lang w:val="ru-RU"/>
        </w:rPr>
        <w:t xml:space="preserve">Большинство червей этого семейства строит трубки. Наиболее близкими по размерам к найденным субфоссилиям являются достаточно устойчивые к механическим разрушениями трубки  </w:t>
      </w:r>
      <w:r>
        <w:rPr>
          <w:rFonts w:hint="default" w:ascii="Times New Roman" w:hAnsi="Times New Roman"/>
          <w:i/>
          <w:iCs/>
          <w:sz w:val="24"/>
          <w:szCs w:val="24"/>
          <w:highlight w:val="darkGreen"/>
          <w:lang w:val="en-US"/>
        </w:rPr>
        <w:t>Dipolydora quadrilobata</w:t>
      </w:r>
      <w:r>
        <w:rPr>
          <w:rFonts w:hint="default" w:ascii="Times New Roman" w:hAnsi="Times New Roman"/>
          <w:sz w:val="24"/>
          <w:szCs w:val="24"/>
          <w:highlight w:val="darkGreen"/>
          <w:lang w:val="en-US"/>
        </w:rPr>
        <w:t xml:space="preserve"> (Jacobi, 1883).</w:t>
      </w:r>
    </w:p>
    <w:p w14:paraId="461112CA">
      <w:pPr>
        <w:spacing w:after="0" w:line="240" w:lineRule="auto"/>
        <w:ind w:firstLine="709"/>
        <w:jc w:val="both"/>
        <w:rPr>
          <w:rFonts w:hint="default" w:ascii="Times New Roman" w:hAnsi="Times New Roman"/>
          <w:sz w:val="24"/>
          <w:szCs w:val="24"/>
          <w:highlight w:val="darkGreen"/>
          <w:lang w:val="ru-RU"/>
        </w:rPr>
      </w:pPr>
      <w:r>
        <w:rPr>
          <w:rFonts w:hint="default" w:ascii="Times New Roman" w:hAnsi="Times New Roman"/>
          <w:sz w:val="24"/>
          <w:szCs w:val="24"/>
          <w:highlight w:val="darkGreen"/>
          <w:lang w:val="ru-RU"/>
        </w:rPr>
        <w:t xml:space="preserve">Выше описанного слоя (50-60 см) располагается слой лишенный выраженных субфоссилий.  </w:t>
      </w:r>
    </w:p>
    <w:p w14:paraId="6AFA4322">
      <w:pPr>
        <w:spacing w:after="0" w:line="240" w:lineRule="auto"/>
        <w:ind w:firstLine="709"/>
        <w:jc w:val="both"/>
        <w:rPr>
          <w:rFonts w:hint="default" w:ascii="Times New Roman" w:hAnsi="Times New Roman"/>
          <w:sz w:val="24"/>
          <w:szCs w:val="24"/>
          <w:highlight w:val="darkGreen"/>
          <w:lang w:val="ru-RU"/>
        </w:rPr>
      </w:pPr>
      <w:r>
        <w:rPr>
          <w:rFonts w:hint="default" w:ascii="Times New Roman" w:hAnsi="Times New Roman" w:cs="Times New Roman"/>
          <w:sz w:val="24"/>
          <w:szCs w:val="24"/>
          <w:highlight w:val="darkGreen"/>
          <w:lang w:val="ru-RU"/>
        </w:rPr>
        <w:t xml:space="preserve">Самую верхнюю (наиболее молодую) часть разреза (40-60 см от поверхности) занимает слой с хорошо сохранившимися осколками раковин мидий, </w:t>
      </w:r>
      <w:r>
        <w:rPr>
          <w:rFonts w:hint="default" w:ascii="Times New Roman" w:hAnsi="Times New Roman" w:cs="Times New Roman"/>
          <w:i/>
          <w:iCs/>
          <w:sz w:val="24"/>
          <w:szCs w:val="24"/>
          <w:highlight w:val="darkGreen"/>
          <w:lang w:val="en-US"/>
        </w:rPr>
        <w:t>Mytilus edulis</w:t>
      </w:r>
      <w:r>
        <w:rPr>
          <w:rFonts w:hint="default" w:ascii="Times New Roman" w:hAnsi="Times New Roman" w:cs="Times New Roman"/>
          <w:i/>
          <w:iCs/>
          <w:sz w:val="24"/>
          <w:szCs w:val="24"/>
          <w:highlight w:val="darkGreen"/>
          <w:lang w:val="ru-RU"/>
        </w:rPr>
        <w:t xml:space="preserve"> </w:t>
      </w:r>
      <w:r>
        <w:rPr>
          <w:rFonts w:hint="default" w:ascii="Times New Roman" w:hAnsi="Times New Roman"/>
          <w:i w:val="0"/>
          <w:iCs w:val="0"/>
          <w:sz w:val="24"/>
          <w:szCs w:val="24"/>
          <w:highlight w:val="darkGreen"/>
          <w:lang w:val="ru-RU"/>
        </w:rPr>
        <w:t>Linnaeus, 1758</w:t>
      </w:r>
      <w:r>
        <w:rPr>
          <w:rFonts w:hint="default" w:ascii="Times New Roman" w:hAnsi="Times New Roman" w:cs="Times New Roman"/>
          <w:sz w:val="24"/>
          <w:szCs w:val="24"/>
          <w:highlight w:val="darkGreen"/>
          <w:lang w:val="ru-RU"/>
        </w:rPr>
        <w:t xml:space="preserve"> (рис. ++). Такого рода отложения хорошо соответствуют  ракушечнику, подстилающему рецентные мидиевые банки, представленные на нижней литорали Белого моря. Помимо створок мидий  в этих слоях омечены также осколки раковин</w:t>
      </w:r>
      <w:r>
        <w:rPr>
          <w:rFonts w:hint="default" w:ascii="Times New Roman" w:hAnsi="Times New Roman" w:cs="Times New Roman"/>
          <w:sz w:val="24"/>
          <w:szCs w:val="24"/>
          <w:highlight w:val="darkGreen"/>
          <w:lang w:val="en-US"/>
        </w:rPr>
        <w:t xml:space="preserve"> </w:t>
      </w:r>
      <w:r>
        <w:rPr>
          <w:rFonts w:hint="default" w:ascii="Times New Roman" w:hAnsi="Times New Roman" w:cs="Times New Roman"/>
          <w:i/>
          <w:iCs/>
          <w:sz w:val="24"/>
          <w:szCs w:val="24"/>
          <w:highlight w:val="darkGreen"/>
          <w:lang w:val="en-US"/>
        </w:rPr>
        <w:t>Macoma</w:t>
      </w:r>
      <w:r>
        <w:rPr>
          <w:rFonts w:hint="default" w:ascii="Times New Roman" w:hAnsi="Times New Roman" w:cs="Times New Roman"/>
          <w:sz w:val="24"/>
          <w:szCs w:val="24"/>
          <w:highlight w:val="darkGreen"/>
          <w:lang w:val="en-US"/>
        </w:rPr>
        <w:t xml:space="preserve"> sp. </w:t>
      </w:r>
      <w:r>
        <w:rPr>
          <w:rFonts w:hint="default" w:ascii="Times New Roman" w:hAnsi="Times New Roman" w:cs="Times New Roman"/>
          <w:sz w:val="24"/>
          <w:szCs w:val="24"/>
          <w:highlight w:val="darkGreen"/>
          <w:lang w:val="ru-RU"/>
        </w:rPr>
        <w:t xml:space="preserve">и </w:t>
      </w:r>
      <w:r>
        <w:rPr>
          <w:rFonts w:hint="default" w:ascii="Times New Roman" w:hAnsi="Times New Roman" w:cs="Times New Roman"/>
          <w:i/>
          <w:iCs/>
          <w:sz w:val="24"/>
          <w:szCs w:val="24"/>
          <w:highlight w:val="darkGreen"/>
          <w:lang w:val="en-US"/>
        </w:rPr>
        <w:t>Littorina</w:t>
      </w:r>
      <w:r>
        <w:rPr>
          <w:rFonts w:hint="default" w:ascii="Times New Roman" w:hAnsi="Times New Roman" w:cs="Times New Roman"/>
          <w:sz w:val="24"/>
          <w:szCs w:val="24"/>
          <w:highlight w:val="darkGreen"/>
          <w:lang w:val="en-US"/>
        </w:rPr>
        <w:t xml:space="preserve"> sp.</w:t>
      </w:r>
      <w:r>
        <w:rPr>
          <w:rFonts w:hint="default" w:ascii="Times New Roman" w:hAnsi="Times New Roman" w:cs="Times New Roman"/>
          <w:sz w:val="24"/>
          <w:szCs w:val="24"/>
          <w:highlight w:val="darkGreen"/>
          <w:lang w:val="ru-RU"/>
        </w:rPr>
        <w:t xml:space="preserve"> Между слоем с отложениями, соответствующими мидиевой банке и предыдущем слоем на глубине 60-70 см наблюдается слой, лишенный субфоссилий. </w:t>
      </w:r>
    </w:p>
    <w:p w14:paraId="5D14036F">
      <w:pPr>
        <w:spacing w:after="0" w:line="240" w:lineRule="auto"/>
        <w:ind w:firstLine="709"/>
        <w:jc w:val="both"/>
        <w:rPr>
          <w:rFonts w:hint="default" w:ascii="Times New Roman" w:hAnsi="Times New Roman" w:cs="Times New Roman"/>
          <w:sz w:val="24"/>
          <w:szCs w:val="24"/>
          <w:highlight w:val="darkGreen"/>
          <w:lang w:val="ru-RU"/>
        </w:rPr>
      </w:pPr>
    </w:p>
    <w:p w14:paraId="1F4338C7">
      <w:pPr>
        <w:spacing w:after="0" w:line="240" w:lineRule="auto"/>
        <w:ind w:firstLine="709"/>
        <w:jc w:val="both"/>
        <w:rPr>
          <w:rFonts w:hint="default" w:ascii="Times New Roman" w:hAnsi="Times New Roman" w:cs="Times New Roman"/>
          <w:sz w:val="24"/>
          <w:szCs w:val="24"/>
          <w:highlight w:val="darkGreen"/>
          <w:lang w:val="ru-RU"/>
        </w:rPr>
      </w:pPr>
    </w:p>
    <w:p w14:paraId="528EFEF8">
      <w:pPr>
        <w:spacing w:after="0" w:line="240" w:lineRule="auto"/>
        <w:ind w:firstLine="709"/>
        <w:jc w:val="both"/>
        <w:rPr>
          <w:rFonts w:hint="default" w:ascii="Times New Roman" w:hAnsi="Times New Roman" w:cs="Times New Roman"/>
          <w:sz w:val="24"/>
          <w:szCs w:val="24"/>
          <w:highlight w:val="darkGreen"/>
          <w:lang w:val="ru-RU"/>
        </w:rPr>
      </w:pPr>
      <w:r>
        <w:rPr>
          <w:rFonts w:hint="default" w:ascii="Times New Roman" w:hAnsi="Times New Roman" w:cs="Times New Roman"/>
          <w:sz w:val="24"/>
          <w:szCs w:val="24"/>
          <w:highlight w:val="darkGreen"/>
          <w:lang w:val="ru-RU"/>
        </w:rPr>
        <w:t>Таблица +++. Визуальное описание распределения субфоссилий донных беспозвоночных.</w:t>
      </w:r>
    </w:p>
    <w:p w14:paraId="603CEA59">
      <w:pPr>
        <w:spacing w:after="0" w:line="240" w:lineRule="auto"/>
        <w:ind w:firstLine="709"/>
        <w:jc w:val="both"/>
        <w:rPr>
          <w:rFonts w:hint="default" w:ascii="Times New Roman" w:hAnsi="Times New Roman" w:cs="Times New Roman"/>
          <w:sz w:val="24"/>
          <w:szCs w:val="24"/>
          <w:highlight w:val="darkGreen"/>
          <w:lang w:val="ru-RU"/>
        </w:rPr>
      </w:pPr>
    </w:p>
    <w:tbl>
      <w:tblPr>
        <w:tblStyle w:val="3"/>
        <w:tblW w:w="94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75"/>
        <w:gridCol w:w="5532"/>
        <w:gridCol w:w="2768"/>
      </w:tblGrid>
      <w:tr w14:paraId="1BF0E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1777221F">
            <w:pPr>
              <w:keepNext w:val="0"/>
              <w:keepLines w:val="0"/>
              <w:widowControl/>
              <w:suppressLineNumbers w:val="0"/>
              <w:jc w:val="left"/>
              <w:textAlignment w:val="center"/>
              <w:rPr>
                <w:rFonts w:hint="default" w:ascii="Calibri" w:hAnsi="Calibri" w:cs="Calibri"/>
                <w:b/>
                <w:bCs/>
                <w:i w:val="0"/>
                <w:iCs w:val="0"/>
                <w:color w:val="000000"/>
                <w:sz w:val="20"/>
                <w:szCs w:val="20"/>
                <w:highlight w:val="darkGreen"/>
                <w:u w:val="none"/>
                <w:lang w:val="ru-RU"/>
              </w:rPr>
            </w:pPr>
            <w:r>
              <w:rPr>
                <w:rFonts w:hint="default" w:ascii="Calibri" w:hAnsi="Calibri" w:eastAsia="SimSun" w:cs="Calibri"/>
                <w:b/>
                <w:bCs/>
                <w:i w:val="0"/>
                <w:iCs w:val="0"/>
                <w:color w:val="000000"/>
                <w:kern w:val="0"/>
                <w:sz w:val="20"/>
                <w:szCs w:val="20"/>
                <w:highlight w:val="darkGreen"/>
                <w:u w:val="none"/>
                <w:lang w:val="en-US" w:eastAsia="zh-CN" w:bidi="ar"/>
              </w:rPr>
              <w:t>Глубина</w:t>
            </w:r>
            <w:r>
              <w:rPr>
                <w:rFonts w:hint="default" w:ascii="Calibri" w:hAnsi="Calibri" w:eastAsia="SimSun" w:cs="Calibri"/>
                <w:b/>
                <w:bCs/>
                <w:i w:val="0"/>
                <w:iCs w:val="0"/>
                <w:color w:val="000000"/>
                <w:kern w:val="0"/>
                <w:sz w:val="20"/>
                <w:szCs w:val="20"/>
                <w:highlight w:val="darkGreen"/>
                <w:u w:val="none"/>
                <w:lang w:val="ru-RU" w:eastAsia="zh-CN" w:bidi="ar"/>
              </w:rPr>
              <w:t xml:space="preserve"> (см)</w:t>
            </w:r>
          </w:p>
        </w:tc>
        <w:tc>
          <w:tcPr>
            <w:tcW w:w="5532" w:type="dxa"/>
            <w:tcBorders>
              <w:top w:val="nil"/>
              <w:left w:val="nil"/>
              <w:bottom w:val="nil"/>
              <w:right w:val="nil"/>
            </w:tcBorders>
            <w:shd w:val="clear" w:color="auto" w:fill="auto"/>
            <w:noWrap/>
            <w:vAlign w:val="center"/>
          </w:tcPr>
          <w:p w14:paraId="4B21757D">
            <w:pPr>
              <w:keepNext w:val="0"/>
              <w:keepLines w:val="0"/>
              <w:widowControl/>
              <w:suppressLineNumbers w:val="0"/>
              <w:jc w:val="left"/>
              <w:textAlignment w:val="center"/>
              <w:rPr>
                <w:rFonts w:hint="default" w:ascii="Calibri" w:hAnsi="Calibri" w:cs="Calibri"/>
                <w:b/>
                <w:bCs/>
                <w:i w:val="0"/>
                <w:iCs w:val="0"/>
                <w:color w:val="000000"/>
                <w:sz w:val="20"/>
                <w:szCs w:val="20"/>
                <w:highlight w:val="darkGreen"/>
                <w:u w:val="none"/>
              </w:rPr>
            </w:pPr>
            <w:r>
              <w:rPr>
                <w:rFonts w:hint="default" w:ascii="Calibri" w:hAnsi="Calibri" w:eastAsia="SimSun" w:cs="Calibri"/>
                <w:b/>
                <w:bCs/>
                <w:i w:val="0"/>
                <w:iCs w:val="0"/>
                <w:color w:val="000000"/>
                <w:kern w:val="0"/>
                <w:sz w:val="20"/>
                <w:szCs w:val="20"/>
                <w:highlight w:val="darkGreen"/>
                <w:u w:val="none"/>
                <w:lang w:val="en-US" w:eastAsia="zh-CN" w:bidi="ar"/>
              </w:rPr>
              <w:t>Визуальное описание</w:t>
            </w:r>
          </w:p>
        </w:tc>
        <w:tc>
          <w:tcPr>
            <w:tcW w:w="2768" w:type="dxa"/>
            <w:tcBorders>
              <w:top w:val="nil"/>
              <w:left w:val="nil"/>
              <w:bottom w:val="nil"/>
              <w:right w:val="nil"/>
            </w:tcBorders>
            <w:shd w:val="clear" w:color="auto" w:fill="auto"/>
            <w:noWrap/>
            <w:vAlign w:val="center"/>
          </w:tcPr>
          <w:p w14:paraId="16E7D916">
            <w:pPr>
              <w:keepNext w:val="0"/>
              <w:keepLines w:val="0"/>
              <w:widowControl/>
              <w:suppressLineNumbers w:val="0"/>
              <w:jc w:val="left"/>
              <w:textAlignment w:val="center"/>
              <w:rPr>
                <w:rFonts w:hint="default" w:ascii="Calibri" w:hAnsi="Calibri" w:cs="Calibri"/>
                <w:b/>
                <w:bCs/>
                <w:i w:val="0"/>
                <w:iCs w:val="0"/>
                <w:color w:val="000000"/>
                <w:sz w:val="20"/>
                <w:szCs w:val="20"/>
                <w:highlight w:val="darkGreen"/>
                <w:u w:val="none"/>
              </w:rPr>
            </w:pPr>
            <w:r>
              <w:rPr>
                <w:rFonts w:hint="default" w:ascii="Calibri" w:hAnsi="Calibri" w:eastAsia="SimSun" w:cs="Calibri"/>
                <w:b/>
                <w:bCs/>
                <w:i w:val="0"/>
                <w:iCs w:val="0"/>
                <w:color w:val="000000"/>
                <w:kern w:val="0"/>
                <w:sz w:val="20"/>
                <w:szCs w:val="20"/>
                <w:highlight w:val="darkGreen"/>
                <w:u w:val="none"/>
                <w:lang w:val="en-US" w:eastAsia="zh-CN" w:bidi="ar"/>
              </w:rPr>
              <w:t>Виды, отмеченные в слое</w:t>
            </w:r>
          </w:p>
        </w:tc>
      </w:tr>
      <w:tr w14:paraId="57D7E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5D86D2BD">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0</w:t>
            </w:r>
          </w:p>
        </w:tc>
        <w:tc>
          <w:tcPr>
            <w:tcW w:w="5532" w:type="dxa"/>
            <w:vMerge w:val="restart"/>
            <w:tcBorders>
              <w:top w:val="nil"/>
              <w:left w:val="nil"/>
              <w:right w:val="nil"/>
            </w:tcBorders>
            <w:shd w:val="clear" w:color="auto" w:fill="auto"/>
            <w:noWrap/>
            <w:vAlign w:val="center"/>
          </w:tcPr>
          <w:p w14:paraId="4DF9074B">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Гравийно-галичный слой без субфоссилий</w:t>
            </w:r>
          </w:p>
        </w:tc>
        <w:tc>
          <w:tcPr>
            <w:tcW w:w="2768" w:type="dxa"/>
            <w:vMerge w:val="restart"/>
            <w:tcBorders>
              <w:top w:val="nil"/>
              <w:left w:val="nil"/>
              <w:right w:val="nil"/>
            </w:tcBorders>
            <w:shd w:val="clear" w:color="auto" w:fill="auto"/>
            <w:noWrap/>
            <w:vAlign w:val="center"/>
          </w:tcPr>
          <w:p w14:paraId="431DED51">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Нет</w:t>
            </w:r>
          </w:p>
        </w:tc>
      </w:tr>
      <w:tr w14:paraId="21C4D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648C3CE8">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10</w:t>
            </w:r>
          </w:p>
        </w:tc>
        <w:tc>
          <w:tcPr>
            <w:tcW w:w="5532" w:type="dxa"/>
            <w:vMerge w:val="continue"/>
            <w:tcBorders>
              <w:left w:val="nil"/>
              <w:right w:val="nil"/>
            </w:tcBorders>
            <w:shd w:val="clear" w:color="auto" w:fill="auto"/>
            <w:noWrap/>
            <w:vAlign w:val="center"/>
          </w:tcPr>
          <w:p w14:paraId="2FDC98C5">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303DA31F">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70139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3F2745CE">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20</w:t>
            </w:r>
          </w:p>
        </w:tc>
        <w:tc>
          <w:tcPr>
            <w:tcW w:w="5532" w:type="dxa"/>
            <w:vMerge w:val="continue"/>
            <w:tcBorders>
              <w:left w:val="nil"/>
              <w:right w:val="nil"/>
            </w:tcBorders>
            <w:shd w:val="clear" w:color="auto" w:fill="auto"/>
            <w:noWrap/>
            <w:vAlign w:val="center"/>
          </w:tcPr>
          <w:p w14:paraId="3FBD0822">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5F372A10">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29EDD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1" w:hRule="atLeast"/>
        </w:trPr>
        <w:tc>
          <w:tcPr>
            <w:tcW w:w="1175" w:type="dxa"/>
            <w:tcBorders>
              <w:top w:val="nil"/>
              <w:left w:val="nil"/>
              <w:bottom w:val="nil"/>
              <w:right w:val="nil"/>
            </w:tcBorders>
            <w:shd w:val="clear" w:color="auto" w:fill="auto"/>
            <w:noWrap/>
            <w:vAlign w:val="center"/>
          </w:tcPr>
          <w:p w14:paraId="47B730B5">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30</w:t>
            </w:r>
          </w:p>
        </w:tc>
        <w:tc>
          <w:tcPr>
            <w:tcW w:w="5532" w:type="dxa"/>
            <w:vMerge w:val="continue"/>
            <w:tcBorders>
              <w:left w:val="nil"/>
              <w:bottom w:val="nil"/>
              <w:right w:val="nil"/>
            </w:tcBorders>
            <w:shd w:val="clear" w:color="auto" w:fill="auto"/>
            <w:noWrap/>
            <w:vAlign w:val="center"/>
          </w:tcPr>
          <w:p w14:paraId="656DCA22">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bottom w:val="nil"/>
              <w:right w:val="nil"/>
            </w:tcBorders>
            <w:shd w:val="clear" w:color="auto" w:fill="auto"/>
            <w:noWrap/>
            <w:vAlign w:val="center"/>
          </w:tcPr>
          <w:p w14:paraId="23D0C35A">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5D17C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74B388EA">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40</w:t>
            </w:r>
          </w:p>
        </w:tc>
        <w:tc>
          <w:tcPr>
            <w:tcW w:w="5532" w:type="dxa"/>
            <w:vMerge w:val="restart"/>
            <w:tcBorders>
              <w:top w:val="nil"/>
              <w:left w:val="nil"/>
              <w:right w:val="nil"/>
            </w:tcBorders>
            <w:shd w:val="clear" w:color="auto" w:fill="auto"/>
            <w:noWrap/>
            <w:vAlign w:val="center"/>
          </w:tcPr>
          <w:p w14:paraId="1CFDD221">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Мидиевая банка</w:t>
            </w:r>
          </w:p>
        </w:tc>
        <w:tc>
          <w:tcPr>
            <w:tcW w:w="2768" w:type="dxa"/>
            <w:vMerge w:val="restart"/>
            <w:tcBorders>
              <w:top w:val="nil"/>
              <w:left w:val="nil"/>
              <w:right w:val="nil"/>
            </w:tcBorders>
            <w:shd w:val="clear" w:color="auto" w:fill="auto"/>
            <w:noWrap/>
            <w:vAlign w:val="center"/>
          </w:tcPr>
          <w:p w14:paraId="2A3190A4">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Mytilus edulis; Macoma sp.; Littorina sp.</w:t>
            </w:r>
          </w:p>
        </w:tc>
      </w:tr>
      <w:tr w14:paraId="422BA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5913855D">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50</w:t>
            </w:r>
          </w:p>
        </w:tc>
        <w:tc>
          <w:tcPr>
            <w:tcW w:w="5532" w:type="dxa"/>
            <w:vMerge w:val="continue"/>
            <w:tcBorders>
              <w:left w:val="nil"/>
              <w:bottom w:val="nil"/>
              <w:right w:val="nil"/>
            </w:tcBorders>
            <w:shd w:val="clear" w:color="auto" w:fill="auto"/>
            <w:noWrap/>
            <w:vAlign w:val="center"/>
          </w:tcPr>
          <w:p w14:paraId="5B061FB8">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bottom w:val="nil"/>
              <w:right w:val="nil"/>
            </w:tcBorders>
            <w:shd w:val="clear" w:color="auto" w:fill="auto"/>
            <w:noWrap/>
            <w:vAlign w:val="center"/>
          </w:tcPr>
          <w:p w14:paraId="58097467">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5F131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2C789F26">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60</w:t>
            </w:r>
          </w:p>
        </w:tc>
        <w:tc>
          <w:tcPr>
            <w:tcW w:w="5532" w:type="dxa"/>
            <w:tcBorders>
              <w:top w:val="nil"/>
              <w:left w:val="nil"/>
              <w:bottom w:val="nil"/>
              <w:right w:val="nil"/>
            </w:tcBorders>
            <w:shd w:val="clear" w:color="auto" w:fill="auto"/>
            <w:noWrap/>
            <w:vAlign w:val="center"/>
          </w:tcPr>
          <w:p w14:paraId="41C47200">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Серый слой без субфоссилий</w:t>
            </w:r>
          </w:p>
        </w:tc>
        <w:tc>
          <w:tcPr>
            <w:tcW w:w="2768" w:type="dxa"/>
            <w:tcBorders>
              <w:top w:val="nil"/>
              <w:left w:val="nil"/>
              <w:bottom w:val="nil"/>
              <w:right w:val="nil"/>
            </w:tcBorders>
            <w:shd w:val="clear" w:color="auto" w:fill="auto"/>
            <w:noWrap/>
            <w:vAlign w:val="center"/>
          </w:tcPr>
          <w:p w14:paraId="2AC2E09B">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Нет</w:t>
            </w:r>
          </w:p>
        </w:tc>
      </w:tr>
      <w:tr w14:paraId="485AE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46388148">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70</w:t>
            </w:r>
          </w:p>
        </w:tc>
        <w:tc>
          <w:tcPr>
            <w:tcW w:w="5532" w:type="dxa"/>
            <w:vMerge w:val="restart"/>
            <w:tcBorders>
              <w:top w:val="nil"/>
              <w:left w:val="nil"/>
              <w:right w:val="nil"/>
            </w:tcBorders>
            <w:shd w:val="clear" w:color="auto" w:fill="auto"/>
            <w:noWrap/>
            <w:vAlign w:val="center"/>
          </w:tcPr>
          <w:p w14:paraId="2DE0B9E4">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Слои с повышенным содержанием железа, Отложения с трубками полихет и отдельными моллюсками</w:t>
            </w:r>
          </w:p>
        </w:tc>
        <w:tc>
          <w:tcPr>
            <w:tcW w:w="2768" w:type="dxa"/>
            <w:vMerge w:val="restart"/>
            <w:tcBorders>
              <w:top w:val="nil"/>
              <w:left w:val="nil"/>
              <w:right w:val="nil"/>
            </w:tcBorders>
            <w:shd w:val="clear" w:color="auto" w:fill="auto"/>
            <w:noWrap/>
            <w:vAlign w:val="center"/>
          </w:tcPr>
          <w:p w14:paraId="4F5709D0">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Dipolydora quadrilobata (?); Macoma sp.</w:t>
            </w:r>
          </w:p>
        </w:tc>
      </w:tr>
      <w:tr w14:paraId="166DC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3E198FC3">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80</w:t>
            </w:r>
          </w:p>
        </w:tc>
        <w:tc>
          <w:tcPr>
            <w:tcW w:w="5532" w:type="dxa"/>
            <w:vMerge w:val="continue"/>
            <w:tcBorders>
              <w:left w:val="nil"/>
              <w:right w:val="nil"/>
            </w:tcBorders>
            <w:shd w:val="clear" w:color="auto" w:fill="auto"/>
            <w:noWrap/>
            <w:vAlign w:val="center"/>
          </w:tcPr>
          <w:p w14:paraId="7FE0613A">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152218B2">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35C9C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0D600EA1">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90</w:t>
            </w:r>
          </w:p>
        </w:tc>
        <w:tc>
          <w:tcPr>
            <w:tcW w:w="5532" w:type="dxa"/>
            <w:vMerge w:val="continue"/>
            <w:tcBorders>
              <w:left w:val="nil"/>
              <w:bottom w:val="nil"/>
              <w:right w:val="nil"/>
            </w:tcBorders>
            <w:shd w:val="clear" w:color="auto" w:fill="auto"/>
            <w:noWrap/>
            <w:vAlign w:val="center"/>
          </w:tcPr>
          <w:p w14:paraId="290AC910">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bottom w:val="nil"/>
              <w:right w:val="nil"/>
            </w:tcBorders>
            <w:shd w:val="clear" w:color="auto" w:fill="auto"/>
            <w:noWrap/>
            <w:vAlign w:val="center"/>
          </w:tcPr>
          <w:p w14:paraId="26B2C020">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1D20A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407104FF">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100</w:t>
            </w:r>
          </w:p>
        </w:tc>
        <w:tc>
          <w:tcPr>
            <w:tcW w:w="5532" w:type="dxa"/>
            <w:vMerge w:val="restart"/>
            <w:tcBorders>
              <w:top w:val="nil"/>
              <w:left w:val="nil"/>
              <w:right w:val="nil"/>
            </w:tcBorders>
            <w:shd w:val="clear" w:color="auto" w:fill="auto"/>
            <w:noWrap/>
            <w:vAlign w:val="center"/>
          </w:tcPr>
          <w:p w14:paraId="60BE567B">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Слои с повышенным содержанием железа, Отложения с многочисленным</w:t>
            </w:r>
            <w:r>
              <w:rPr>
                <w:rFonts w:hint="default" w:ascii="Calibri" w:hAnsi="Calibri" w:eastAsia="SimSun" w:cs="Calibri"/>
                <w:i w:val="0"/>
                <w:iCs w:val="0"/>
                <w:color w:val="000000"/>
                <w:kern w:val="0"/>
                <w:sz w:val="20"/>
                <w:szCs w:val="20"/>
                <w:highlight w:val="darkGreen"/>
                <w:u w:val="none"/>
                <w:lang w:val="ru-RU" w:eastAsia="zh-CN" w:bidi="ar"/>
              </w:rPr>
              <w:t xml:space="preserve"> </w:t>
            </w:r>
            <w:r>
              <w:rPr>
                <w:rFonts w:hint="default" w:ascii="Calibri" w:hAnsi="Calibri" w:eastAsia="SimSun" w:cs="Calibri"/>
                <w:i w:val="0"/>
                <w:iCs w:val="0"/>
                <w:color w:val="000000"/>
                <w:kern w:val="0"/>
                <w:sz w:val="20"/>
                <w:szCs w:val="20"/>
                <w:highlight w:val="darkGreen"/>
                <w:u w:val="none"/>
                <w:lang w:val="en-US" w:eastAsia="zh-CN" w:bidi="ar"/>
              </w:rPr>
              <w:t>трубками полихет и многочисленн</w:t>
            </w:r>
            <w:r>
              <w:rPr>
                <w:rFonts w:hint="default" w:ascii="Calibri" w:hAnsi="Calibri" w:eastAsia="SimSun" w:cs="Calibri"/>
                <w:i w:val="0"/>
                <w:iCs w:val="0"/>
                <w:color w:val="000000"/>
                <w:kern w:val="0"/>
                <w:sz w:val="20"/>
                <w:szCs w:val="20"/>
                <w:highlight w:val="darkGreen"/>
                <w:u w:val="none"/>
                <w:lang w:val="ru-RU" w:eastAsia="zh-CN" w:bidi="ar"/>
              </w:rPr>
              <w:t>ы</w:t>
            </w:r>
            <w:r>
              <w:rPr>
                <w:rFonts w:hint="default" w:ascii="Calibri" w:hAnsi="Calibri" w:eastAsia="SimSun" w:cs="Calibri"/>
                <w:i w:val="0"/>
                <w:iCs w:val="0"/>
                <w:color w:val="000000"/>
                <w:kern w:val="0"/>
                <w:sz w:val="20"/>
                <w:szCs w:val="20"/>
                <w:highlight w:val="darkGreen"/>
                <w:u w:val="none"/>
                <w:lang w:val="en-US" w:eastAsia="zh-CN" w:bidi="ar"/>
              </w:rPr>
              <w:t>ми периострак</w:t>
            </w:r>
            <w:r>
              <w:rPr>
                <w:rFonts w:hint="default" w:ascii="Calibri" w:hAnsi="Calibri" w:eastAsia="SimSun" w:cs="Calibri"/>
                <w:i w:val="0"/>
                <w:iCs w:val="0"/>
                <w:color w:val="000000"/>
                <w:kern w:val="0"/>
                <w:sz w:val="20"/>
                <w:szCs w:val="20"/>
                <w:highlight w:val="darkGreen"/>
                <w:u w:val="none"/>
                <w:lang w:val="ru-RU" w:eastAsia="zh-CN" w:bidi="ar"/>
              </w:rPr>
              <w:t>у</w:t>
            </w:r>
            <w:r>
              <w:rPr>
                <w:rFonts w:hint="default" w:ascii="Calibri" w:hAnsi="Calibri" w:eastAsia="SimSun" w:cs="Calibri"/>
                <w:i w:val="0"/>
                <w:iCs w:val="0"/>
                <w:color w:val="000000"/>
                <w:kern w:val="0"/>
                <w:sz w:val="20"/>
                <w:szCs w:val="20"/>
                <w:highlight w:val="darkGreen"/>
                <w:u w:val="none"/>
                <w:lang w:val="en-US" w:eastAsia="zh-CN" w:bidi="ar"/>
              </w:rPr>
              <w:t>м</w:t>
            </w:r>
            <w:r>
              <w:rPr>
                <w:rFonts w:hint="default" w:ascii="Calibri" w:hAnsi="Calibri" w:eastAsia="SimSun" w:cs="Calibri"/>
                <w:i w:val="0"/>
                <w:iCs w:val="0"/>
                <w:color w:val="000000"/>
                <w:kern w:val="0"/>
                <w:sz w:val="20"/>
                <w:szCs w:val="20"/>
                <w:highlight w:val="darkGreen"/>
                <w:u w:val="none"/>
                <w:lang w:val="ru-RU" w:eastAsia="zh-CN" w:bidi="ar"/>
              </w:rPr>
              <w:t>ами</w:t>
            </w:r>
            <w:r>
              <w:rPr>
                <w:rFonts w:hint="default" w:ascii="Calibri" w:hAnsi="Calibri" w:eastAsia="SimSun" w:cs="Calibri"/>
                <w:i w:val="0"/>
                <w:iCs w:val="0"/>
                <w:color w:val="000000"/>
                <w:kern w:val="0"/>
                <w:sz w:val="20"/>
                <w:szCs w:val="20"/>
                <w:highlight w:val="darkGreen"/>
                <w:u w:val="none"/>
                <w:lang w:val="en-US" w:eastAsia="zh-CN" w:bidi="ar"/>
              </w:rPr>
              <w:t xml:space="preserve"> моллюсков</w:t>
            </w:r>
          </w:p>
        </w:tc>
        <w:tc>
          <w:tcPr>
            <w:tcW w:w="2768" w:type="dxa"/>
            <w:vMerge w:val="restart"/>
            <w:tcBorders>
              <w:top w:val="nil"/>
              <w:left w:val="nil"/>
              <w:right w:val="nil"/>
            </w:tcBorders>
            <w:shd w:val="clear" w:color="auto" w:fill="auto"/>
            <w:noWrap/>
            <w:vAlign w:val="center"/>
          </w:tcPr>
          <w:p w14:paraId="75E89301">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Galathowenia oculata; Portlandia arctica</w:t>
            </w:r>
          </w:p>
        </w:tc>
      </w:tr>
      <w:tr w14:paraId="2A131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09894C5A">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110</w:t>
            </w:r>
          </w:p>
        </w:tc>
        <w:tc>
          <w:tcPr>
            <w:tcW w:w="5532" w:type="dxa"/>
            <w:vMerge w:val="continue"/>
            <w:tcBorders>
              <w:left w:val="nil"/>
              <w:bottom w:val="nil"/>
              <w:right w:val="nil"/>
            </w:tcBorders>
            <w:shd w:val="clear" w:color="auto" w:fill="auto"/>
            <w:noWrap/>
            <w:vAlign w:val="center"/>
          </w:tcPr>
          <w:p w14:paraId="406B9462">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4FF52248">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57936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458C6595">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120</w:t>
            </w:r>
          </w:p>
        </w:tc>
        <w:tc>
          <w:tcPr>
            <w:tcW w:w="5532" w:type="dxa"/>
            <w:vMerge w:val="restart"/>
            <w:tcBorders>
              <w:top w:val="nil"/>
              <w:left w:val="nil"/>
              <w:right w:val="nil"/>
            </w:tcBorders>
            <w:shd w:val="clear" w:color="auto" w:fill="auto"/>
            <w:noWrap/>
            <w:vAlign w:val="center"/>
          </w:tcPr>
          <w:p w14:paraId="5197C04B">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Слои с повышенным содержанием железа, Отложения с многочисленными трубками полихет; редкие периостракумы моллюсков</w:t>
            </w:r>
          </w:p>
        </w:tc>
        <w:tc>
          <w:tcPr>
            <w:tcW w:w="2768" w:type="dxa"/>
            <w:vMerge w:val="continue"/>
            <w:tcBorders>
              <w:left w:val="nil"/>
              <w:right w:val="nil"/>
            </w:tcBorders>
            <w:shd w:val="clear" w:color="auto" w:fill="auto"/>
            <w:noWrap/>
            <w:vAlign w:val="center"/>
          </w:tcPr>
          <w:p w14:paraId="67DFE688">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1B9B3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77EB896C">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130</w:t>
            </w:r>
          </w:p>
        </w:tc>
        <w:tc>
          <w:tcPr>
            <w:tcW w:w="5532" w:type="dxa"/>
            <w:vMerge w:val="continue"/>
            <w:tcBorders>
              <w:left w:val="nil"/>
              <w:right w:val="nil"/>
            </w:tcBorders>
            <w:shd w:val="clear" w:color="auto" w:fill="auto"/>
            <w:noWrap/>
            <w:vAlign w:val="center"/>
          </w:tcPr>
          <w:p w14:paraId="36F860A0">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42084915">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1E1A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0368CA23">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140</w:t>
            </w:r>
          </w:p>
        </w:tc>
        <w:tc>
          <w:tcPr>
            <w:tcW w:w="5532" w:type="dxa"/>
            <w:vMerge w:val="continue"/>
            <w:tcBorders>
              <w:left w:val="nil"/>
              <w:right w:val="nil"/>
            </w:tcBorders>
            <w:shd w:val="clear" w:color="auto" w:fill="auto"/>
            <w:noWrap/>
            <w:vAlign w:val="center"/>
          </w:tcPr>
          <w:p w14:paraId="77CAD3D1">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04F23E1D">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1AE4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7043967E">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150</w:t>
            </w:r>
          </w:p>
        </w:tc>
        <w:tc>
          <w:tcPr>
            <w:tcW w:w="5532" w:type="dxa"/>
            <w:vMerge w:val="continue"/>
            <w:tcBorders>
              <w:left w:val="nil"/>
              <w:bottom w:val="nil"/>
              <w:right w:val="nil"/>
            </w:tcBorders>
            <w:shd w:val="clear" w:color="auto" w:fill="auto"/>
            <w:noWrap/>
            <w:vAlign w:val="center"/>
          </w:tcPr>
          <w:p w14:paraId="0A66BB2F">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46C0FE1A">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4B816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23A3FD10">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160</w:t>
            </w:r>
          </w:p>
        </w:tc>
        <w:tc>
          <w:tcPr>
            <w:tcW w:w="5532" w:type="dxa"/>
            <w:vMerge w:val="restart"/>
            <w:tcBorders>
              <w:top w:val="nil"/>
              <w:left w:val="nil"/>
              <w:right w:val="nil"/>
            </w:tcBorders>
            <w:shd w:val="clear" w:color="auto" w:fill="auto"/>
            <w:noWrap/>
            <w:vAlign w:val="center"/>
          </w:tcPr>
          <w:p w14:paraId="547ADE5A">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Слои с повышенным содержанием железа, Отложения с трубками полихет и отдельными моллюсками</w:t>
            </w:r>
          </w:p>
        </w:tc>
        <w:tc>
          <w:tcPr>
            <w:tcW w:w="2768" w:type="dxa"/>
            <w:vMerge w:val="continue"/>
            <w:tcBorders>
              <w:left w:val="nil"/>
              <w:right w:val="nil"/>
            </w:tcBorders>
            <w:shd w:val="clear" w:color="auto" w:fill="auto"/>
            <w:noWrap/>
            <w:vAlign w:val="center"/>
          </w:tcPr>
          <w:p w14:paraId="5C5859F1">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5AC54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4B1A7198">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170</w:t>
            </w:r>
          </w:p>
        </w:tc>
        <w:tc>
          <w:tcPr>
            <w:tcW w:w="5532" w:type="dxa"/>
            <w:vMerge w:val="continue"/>
            <w:tcBorders>
              <w:left w:val="nil"/>
              <w:right w:val="nil"/>
            </w:tcBorders>
            <w:shd w:val="clear" w:color="auto" w:fill="auto"/>
            <w:noWrap/>
            <w:vAlign w:val="center"/>
          </w:tcPr>
          <w:p w14:paraId="5388A7E4">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18415E81">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3EAB3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56FEC1A3">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180</w:t>
            </w:r>
          </w:p>
        </w:tc>
        <w:tc>
          <w:tcPr>
            <w:tcW w:w="5532" w:type="dxa"/>
            <w:vMerge w:val="continue"/>
            <w:tcBorders>
              <w:left w:val="nil"/>
              <w:bottom w:val="nil"/>
              <w:right w:val="nil"/>
            </w:tcBorders>
            <w:shd w:val="clear" w:color="auto" w:fill="auto"/>
            <w:noWrap/>
            <w:vAlign w:val="center"/>
          </w:tcPr>
          <w:p w14:paraId="7489D260">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bottom w:val="nil"/>
              <w:right w:val="nil"/>
            </w:tcBorders>
            <w:shd w:val="clear" w:color="auto" w:fill="auto"/>
            <w:noWrap/>
            <w:vAlign w:val="center"/>
          </w:tcPr>
          <w:p w14:paraId="35620499">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6FFCD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6DA4E525">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190</w:t>
            </w:r>
          </w:p>
        </w:tc>
        <w:tc>
          <w:tcPr>
            <w:tcW w:w="5532" w:type="dxa"/>
            <w:vMerge w:val="restart"/>
            <w:tcBorders>
              <w:top w:val="nil"/>
              <w:left w:val="nil"/>
              <w:right w:val="nil"/>
            </w:tcBorders>
            <w:shd w:val="clear" w:color="auto" w:fill="auto"/>
            <w:noWrap/>
            <w:vAlign w:val="center"/>
          </w:tcPr>
          <w:p w14:paraId="55FD760D">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Серый слой без субфоссилий</w:t>
            </w:r>
          </w:p>
        </w:tc>
        <w:tc>
          <w:tcPr>
            <w:tcW w:w="2768" w:type="dxa"/>
            <w:vMerge w:val="restart"/>
            <w:tcBorders>
              <w:top w:val="nil"/>
              <w:left w:val="nil"/>
              <w:right w:val="nil"/>
            </w:tcBorders>
            <w:shd w:val="clear" w:color="auto" w:fill="auto"/>
            <w:noWrap/>
            <w:vAlign w:val="center"/>
          </w:tcPr>
          <w:p w14:paraId="637F05CE">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Нет</w:t>
            </w:r>
          </w:p>
        </w:tc>
      </w:tr>
      <w:tr w14:paraId="1B3CF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509BD046">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200</w:t>
            </w:r>
          </w:p>
        </w:tc>
        <w:tc>
          <w:tcPr>
            <w:tcW w:w="5532" w:type="dxa"/>
            <w:vMerge w:val="continue"/>
            <w:tcBorders>
              <w:left w:val="nil"/>
              <w:bottom w:val="nil"/>
              <w:right w:val="nil"/>
            </w:tcBorders>
            <w:shd w:val="clear" w:color="auto" w:fill="auto"/>
            <w:noWrap/>
            <w:vAlign w:val="center"/>
          </w:tcPr>
          <w:p w14:paraId="6DA8DAB2">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c>
          <w:tcPr>
            <w:tcW w:w="2768" w:type="dxa"/>
            <w:vMerge w:val="continue"/>
            <w:tcBorders>
              <w:left w:val="nil"/>
              <w:bottom w:val="nil"/>
              <w:right w:val="nil"/>
            </w:tcBorders>
            <w:shd w:val="clear" w:color="auto" w:fill="auto"/>
            <w:noWrap/>
            <w:vAlign w:val="center"/>
          </w:tcPr>
          <w:p w14:paraId="3A697DB5">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690ED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1C376A22">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210</w:t>
            </w:r>
          </w:p>
        </w:tc>
        <w:tc>
          <w:tcPr>
            <w:tcW w:w="5532" w:type="dxa"/>
            <w:vMerge w:val="restart"/>
            <w:tcBorders>
              <w:top w:val="nil"/>
              <w:left w:val="nil"/>
              <w:right w:val="nil"/>
            </w:tcBorders>
            <w:shd w:val="clear" w:color="auto" w:fill="auto"/>
            <w:noWrap/>
            <w:vAlign w:val="center"/>
          </w:tcPr>
          <w:p w14:paraId="0411D5BC">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Слой мелких окатанных камней с богатым ожелезнением и трубками полихет</w:t>
            </w:r>
          </w:p>
        </w:tc>
        <w:tc>
          <w:tcPr>
            <w:tcW w:w="2768" w:type="dxa"/>
            <w:vMerge w:val="restart"/>
            <w:tcBorders>
              <w:top w:val="nil"/>
              <w:left w:val="nil"/>
              <w:right w:val="nil"/>
            </w:tcBorders>
            <w:shd w:val="clear" w:color="auto" w:fill="auto"/>
            <w:noWrap/>
            <w:vAlign w:val="center"/>
          </w:tcPr>
          <w:p w14:paraId="2F1798B9">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Nicomache minor (?)</w:t>
            </w:r>
          </w:p>
        </w:tc>
      </w:tr>
      <w:tr w14:paraId="6B7C6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35C813C7">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220</w:t>
            </w:r>
          </w:p>
        </w:tc>
        <w:tc>
          <w:tcPr>
            <w:tcW w:w="5532" w:type="dxa"/>
            <w:vMerge w:val="continue"/>
            <w:tcBorders>
              <w:left w:val="nil"/>
              <w:right w:val="nil"/>
            </w:tcBorders>
            <w:shd w:val="clear" w:color="auto" w:fill="auto"/>
            <w:noWrap/>
            <w:vAlign w:val="center"/>
          </w:tcPr>
          <w:p w14:paraId="1307DA3D">
            <w:pP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2FDA3631">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1B9C2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765B171A">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230</w:t>
            </w:r>
          </w:p>
        </w:tc>
        <w:tc>
          <w:tcPr>
            <w:tcW w:w="5532" w:type="dxa"/>
            <w:vMerge w:val="continue"/>
            <w:tcBorders>
              <w:left w:val="nil"/>
              <w:bottom w:val="nil"/>
              <w:right w:val="nil"/>
            </w:tcBorders>
            <w:shd w:val="clear" w:color="auto" w:fill="auto"/>
            <w:noWrap/>
            <w:vAlign w:val="center"/>
          </w:tcPr>
          <w:p w14:paraId="44805BA6">
            <w:pPr>
              <w:rPr>
                <w:rFonts w:hint="default" w:ascii="Calibri" w:hAnsi="Calibri" w:cs="Calibri"/>
                <w:i w:val="0"/>
                <w:iCs w:val="0"/>
                <w:color w:val="000000"/>
                <w:sz w:val="20"/>
                <w:szCs w:val="20"/>
                <w:highlight w:val="darkGreen"/>
                <w:u w:val="none"/>
              </w:rPr>
            </w:pPr>
          </w:p>
        </w:tc>
        <w:tc>
          <w:tcPr>
            <w:tcW w:w="2768" w:type="dxa"/>
            <w:vMerge w:val="continue"/>
            <w:tcBorders>
              <w:left w:val="nil"/>
              <w:right w:val="nil"/>
            </w:tcBorders>
            <w:shd w:val="clear" w:color="auto" w:fill="auto"/>
            <w:noWrap/>
            <w:vAlign w:val="center"/>
          </w:tcPr>
          <w:p w14:paraId="746FBAA2">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r w14:paraId="6AA09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75" w:type="dxa"/>
            <w:tcBorders>
              <w:top w:val="nil"/>
              <w:left w:val="nil"/>
              <w:bottom w:val="nil"/>
              <w:right w:val="nil"/>
            </w:tcBorders>
            <w:shd w:val="clear" w:color="auto" w:fill="auto"/>
            <w:noWrap/>
            <w:vAlign w:val="center"/>
          </w:tcPr>
          <w:p w14:paraId="1A08A69D">
            <w:pPr>
              <w:keepNext w:val="0"/>
              <w:keepLines w:val="0"/>
              <w:widowControl/>
              <w:suppressLineNumbers w:val="0"/>
              <w:jc w:val="righ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240</w:t>
            </w:r>
          </w:p>
        </w:tc>
        <w:tc>
          <w:tcPr>
            <w:tcW w:w="5532" w:type="dxa"/>
            <w:tcBorders>
              <w:top w:val="nil"/>
              <w:left w:val="nil"/>
              <w:bottom w:val="nil"/>
              <w:right w:val="nil"/>
            </w:tcBorders>
            <w:shd w:val="clear" w:color="auto" w:fill="auto"/>
            <w:noWrap/>
            <w:vAlign w:val="center"/>
          </w:tcPr>
          <w:p w14:paraId="47465BCA">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r>
              <w:rPr>
                <w:rFonts w:hint="default" w:ascii="Calibri" w:hAnsi="Calibri" w:eastAsia="SimSun" w:cs="Calibri"/>
                <w:i w:val="0"/>
                <w:iCs w:val="0"/>
                <w:color w:val="000000"/>
                <w:kern w:val="0"/>
                <w:sz w:val="20"/>
                <w:szCs w:val="20"/>
                <w:highlight w:val="darkGreen"/>
                <w:u w:val="none"/>
                <w:lang w:val="en-US" w:eastAsia="zh-CN" w:bidi="ar"/>
              </w:rPr>
              <w:t>Морена</w:t>
            </w:r>
          </w:p>
        </w:tc>
        <w:tc>
          <w:tcPr>
            <w:tcW w:w="2768" w:type="dxa"/>
            <w:vMerge w:val="continue"/>
            <w:tcBorders>
              <w:left w:val="nil"/>
              <w:bottom w:val="nil"/>
              <w:right w:val="nil"/>
            </w:tcBorders>
            <w:shd w:val="clear" w:color="auto" w:fill="auto"/>
            <w:noWrap/>
            <w:vAlign w:val="center"/>
          </w:tcPr>
          <w:p w14:paraId="775EB2D6">
            <w:pPr>
              <w:keepNext w:val="0"/>
              <w:keepLines w:val="0"/>
              <w:widowControl/>
              <w:suppressLineNumbers w:val="0"/>
              <w:jc w:val="left"/>
              <w:textAlignment w:val="center"/>
              <w:rPr>
                <w:rFonts w:hint="default" w:ascii="Calibri" w:hAnsi="Calibri" w:cs="Calibri"/>
                <w:i w:val="0"/>
                <w:iCs w:val="0"/>
                <w:color w:val="000000"/>
                <w:sz w:val="20"/>
                <w:szCs w:val="20"/>
                <w:highlight w:val="darkGreen"/>
                <w:u w:val="none"/>
              </w:rPr>
            </w:pPr>
          </w:p>
        </w:tc>
      </w:tr>
    </w:tbl>
    <w:p w14:paraId="1BA2A96F">
      <w:pPr>
        <w:spacing w:after="0" w:line="240" w:lineRule="auto"/>
        <w:ind w:firstLine="709"/>
        <w:jc w:val="both"/>
        <w:rPr>
          <w:rFonts w:hint="default" w:ascii="Times New Roman" w:hAnsi="Times New Roman" w:cs="Times New Roman"/>
          <w:sz w:val="24"/>
          <w:szCs w:val="24"/>
          <w:highlight w:val="darkGreen"/>
          <w:lang w:val="ru-RU"/>
        </w:rPr>
      </w:pPr>
    </w:p>
    <w:p w14:paraId="3BEAB03F">
      <w:pPr>
        <w:spacing w:after="0" w:line="240" w:lineRule="auto"/>
        <w:ind w:firstLine="709"/>
        <w:jc w:val="both"/>
        <w:rPr>
          <w:rFonts w:hint="default" w:ascii="Times New Roman" w:hAnsi="Times New Roman" w:cs="Times New Roman"/>
          <w:sz w:val="24"/>
          <w:szCs w:val="24"/>
          <w:highlight w:val="darkGreen"/>
          <w:lang w:val="ru-RU"/>
        </w:rPr>
      </w:pPr>
    </w:p>
    <w:p w14:paraId="72F828A5">
      <w:pPr>
        <w:spacing w:after="0" w:line="240" w:lineRule="auto"/>
        <w:ind w:firstLine="709"/>
        <w:jc w:val="both"/>
        <w:rPr>
          <w:rFonts w:hint="default" w:ascii="Times New Roman" w:hAnsi="Times New Roman" w:cs="Times New Roman"/>
          <w:sz w:val="24"/>
          <w:szCs w:val="24"/>
          <w:highlight w:val="darkGreen"/>
          <w:lang w:val="ru-RU"/>
        </w:rPr>
      </w:pPr>
      <w:r>
        <w:rPr>
          <w:rFonts w:hint="default" w:ascii="Times New Roman" w:hAnsi="Times New Roman" w:cs="Times New Roman"/>
          <w:sz w:val="24"/>
          <w:szCs w:val="24"/>
          <w:highlight w:val="darkGreen"/>
          <w:lang w:val="ru-RU"/>
        </w:rPr>
        <w:drawing>
          <wp:inline distT="0" distB="0" distL="114300" distR="114300">
            <wp:extent cx="5935345" cy="7499350"/>
            <wp:effectExtent l="0" t="0" r="8255" b="13970"/>
            <wp:docPr id="2" name="Изображение 2" descr="Fig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Fig_Photo"/>
                    <pic:cNvPicPr>
                      <a:picLocks noChangeAspect="1"/>
                    </pic:cNvPicPr>
                  </pic:nvPicPr>
                  <pic:blipFill>
                    <a:blip r:embed="rId9"/>
                    <a:stretch>
                      <a:fillRect/>
                    </a:stretch>
                  </pic:blipFill>
                  <pic:spPr>
                    <a:xfrm>
                      <a:off x="0" y="0"/>
                      <a:ext cx="5935345" cy="7499350"/>
                    </a:xfrm>
                    <a:prstGeom prst="rect">
                      <a:avLst/>
                    </a:prstGeom>
                  </pic:spPr>
                </pic:pic>
              </a:graphicData>
            </a:graphic>
          </wp:inline>
        </w:drawing>
      </w:r>
    </w:p>
    <w:p w14:paraId="6CE378FE">
      <w:pPr>
        <w:spacing w:after="0" w:line="240" w:lineRule="auto"/>
        <w:ind w:firstLine="709"/>
        <w:jc w:val="both"/>
        <w:rPr>
          <w:rFonts w:hint="default" w:ascii="Times New Roman" w:hAnsi="Times New Roman" w:cs="Times New Roman"/>
          <w:sz w:val="24"/>
          <w:szCs w:val="24"/>
          <w:highlight w:val="darkGreen"/>
          <w:lang w:val="ru-RU"/>
        </w:rPr>
      </w:pPr>
    </w:p>
    <w:p w14:paraId="2419F042">
      <w:pPr>
        <w:spacing w:after="0" w:line="240" w:lineRule="auto"/>
        <w:ind w:firstLine="709"/>
        <w:jc w:val="both"/>
        <w:rPr>
          <w:rFonts w:hint="default" w:ascii="Times New Roman" w:hAnsi="Times New Roman" w:cs="Times New Roman"/>
          <w:sz w:val="24"/>
          <w:szCs w:val="24"/>
          <w:highlight w:val="darkGreen"/>
          <w:lang w:val="ru-RU"/>
        </w:rPr>
      </w:pPr>
      <w:r>
        <w:rPr>
          <w:rFonts w:hint="default" w:ascii="Times New Roman" w:hAnsi="Times New Roman" w:cs="Times New Roman"/>
          <w:sz w:val="24"/>
          <w:szCs w:val="24"/>
          <w:highlight w:val="darkGreen"/>
          <w:lang w:val="en-US"/>
        </w:rPr>
        <w:t xml:space="preserve">Fig. +++ </w:t>
      </w:r>
      <w:r>
        <w:rPr>
          <w:rFonts w:hint="default" w:ascii="Times New Roman" w:hAnsi="Times New Roman" w:cs="Times New Roman"/>
          <w:sz w:val="24"/>
          <w:szCs w:val="24"/>
          <w:highlight w:val="darkGreen"/>
          <w:lang w:val="ru-RU"/>
        </w:rPr>
        <w:t xml:space="preserve">Субфоссилии донных беспозвоночных, обнаруженные в разных слоях разреза. </w:t>
      </w:r>
    </w:p>
    <w:p w14:paraId="141E3AB4">
      <w:pPr>
        <w:spacing w:after="0" w:line="240" w:lineRule="auto"/>
        <w:ind w:firstLine="709"/>
        <w:jc w:val="both"/>
        <w:rPr>
          <w:rFonts w:hint="default" w:ascii="Times New Roman" w:hAnsi="Times New Roman" w:cs="Times New Roman"/>
          <w:sz w:val="24"/>
          <w:szCs w:val="24"/>
          <w:highlight w:val="darkGreen"/>
          <w:lang w:val="ru-RU"/>
        </w:rPr>
      </w:pPr>
    </w:p>
    <w:p w14:paraId="3620ACBE">
      <w:pPr>
        <w:spacing w:after="0" w:line="240" w:lineRule="auto"/>
        <w:ind w:firstLine="709"/>
        <w:jc w:val="both"/>
        <w:rPr>
          <w:rFonts w:hint="default" w:ascii="Times New Roman" w:hAnsi="Times New Roman" w:cs="Times New Roman"/>
          <w:sz w:val="24"/>
          <w:szCs w:val="24"/>
          <w:highlight w:val="darkGreen"/>
          <w:lang w:val="ru-RU"/>
        </w:rPr>
      </w:pPr>
    </w:p>
    <w:p w14:paraId="73EC497B">
      <w:pPr>
        <w:spacing w:after="0" w:line="240" w:lineRule="auto"/>
        <w:ind w:firstLine="709"/>
        <w:jc w:val="both"/>
        <w:rPr>
          <w:rFonts w:hint="default" w:ascii="Times New Roman" w:hAnsi="Times New Roman" w:cs="Times New Roman"/>
          <w:sz w:val="24"/>
          <w:szCs w:val="24"/>
          <w:highlight w:val="darkGreen"/>
          <w:lang w:val="ru-RU"/>
        </w:rPr>
      </w:pPr>
      <w:r>
        <w:rPr>
          <w:rFonts w:hint="default" w:ascii="Times New Roman" w:hAnsi="Times New Roman" w:cs="Times New Roman"/>
          <w:sz w:val="24"/>
          <w:szCs w:val="24"/>
          <w:highlight w:val="darkGreen"/>
          <w:lang w:val="ru-RU"/>
        </w:rPr>
        <w:t>Анализ распределения рецентных видов по глубине</w:t>
      </w:r>
      <w:r>
        <w:rPr>
          <w:rFonts w:hint="default" w:ascii="Times New Roman" w:hAnsi="Times New Roman" w:cs="Times New Roman"/>
          <w:sz w:val="24"/>
          <w:szCs w:val="24"/>
          <w:highlight w:val="darkGreen"/>
          <w:lang w:val="en-US"/>
        </w:rPr>
        <w:t xml:space="preserve"> (</w:t>
      </w:r>
      <w:r>
        <w:rPr>
          <w:rFonts w:hint="default" w:ascii="Times New Roman" w:hAnsi="Times New Roman" w:cs="Times New Roman"/>
          <w:sz w:val="24"/>
          <w:szCs w:val="24"/>
          <w:highlight w:val="darkGreen"/>
          <w:lang w:val="ru-RU"/>
        </w:rPr>
        <w:t xml:space="preserve">Табл. +++) показал, что в нижней части разреза обнаруживаются субфоссилии тех видов, которые в рецентной фауне встречаются, в среднем, на достаточно большой глубине.  Это позволяет ожидать, что начало наблюдаемой палеосукцессии проходило на глубине более 20 метров. Вероятно здесь был предтавлен пролив с достаточно сильными течениями, на дне которого формировалось сообщество, в котором доминировали черви из семейства </w:t>
      </w:r>
      <w:r>
        <w:rPr>
          <w:rFonts w:hint="default" w:ascii="Times New Roman" w:hAnsi="Times New Roman" w:cs="Times New Roman"/>
          <w:sz w:val="24"/>
          <w:szCs w:val="24"/>
          <w:highlight w:val="darkGreen"/>
          <w:lang w:val="en-US"/>
        </w:rPr>
        <w:t>Maldanidae (</w:t>
      </w:r>
      <w:r>
        <w:rPr>
          <w:rFonts w:hint="default" w:ascii="Times New Roman" w:hAnsi="Times New Roman" w:cs="Times New Roman"/>
          <w:sz w:val="24"/>
          <w:szCs w:val="24"/>
          <w:highlight w:val="darkGreen"/>
          <w:lang w:val="ru-RU"/>
        </w:rPr>
        <w:t>надо искать ссылки на актуалистические модели ++++</w:t>
      </w:r>
      <w:r>
        <w:rPr>
          <w:rFonts w:hint="default" w:ascii="Times New Roman" w:hAnsi="Times New Roman" w:cs="Times New Roman"/>
          <w:sz w:val="24"/>
          <w:szCs w:val="24"/>
          <w:highlight w:val="darkGreen"/>
          <w:lang w:val="en-US"/>
        </w:rPr>
        <w:t>)</w:t>
      </w:r>
      <w:r>
        <w:rPr>
          <w:rFonts w:hint="default" w:ascii="Times New Roman" w:hAnsi="Times New Roman" w:cs="Times New Roman"/>
          <w:sz w:val="24"/>
          <w:szCs w:val="24"/>
          <w:highlight w:val="darkGreen"/>
          <w:lang w:val="ru-RU"/>
        </w:rPr>
        <w:t>. В последствии гидродинамический режим изменился. Возможно на дне возникли какие-то барьеры, которые превратили участок, где формировались отложения, в яму с глубиной около 20 м. В этом биотопе было представлено сообщество с доминированием арктических форм (</w:t>
      </w:r>
      <w:r>
        <w:rPr>
          <w:rFonts w:hint="default" w:ascii="Times New Roman" w:hAnsi="Times New Roman" w:cs="Times New Roman"/>
          <w:sz w:val="24"/>
          <w:szCs w:val="24"/>
          <w:highlight w:val="darkGreen"/>
          <w:lang w:val="en-US"/>
        </w:rPr>
        <w:t>G. oculata + P. arctica</w:t>
      </w:r>
      <w:r>
        <w:rPr>
          <w:rFonts w:hint="default" w:ascii="Times New Roman" w:hAnsi="Times New Roman" w:cs="Times New Roman"/>
          <w:sz w:val="24"/>
          <w:szCs w:val="24"/>
          <w:highlight w:val="darkGreen"/>
          <w:lang w:val="ru-RU"/>
        </w:rPr>
        <w:t>). Позднее, поднятие дна привело к обмелению акватории. Это сопровождалось переходом к сообществам с доминированием более теплолюбивых животных (</w:t>
      </w:r>
      <w:r>
        <w:rPr>
          <w:rFonts w:hint="default" w:ascii="Times New Roman" w:hAnsi="Times New Roman" w:cs="Times New Roman"/>
          <w:sz w:val="24"/>
          <w:szCs w:val="24"/>
          <w:highlight w:val="darkGreen"/>
          <w:lang w:val="en-US"/>
        </w:rPr>
        <w:t>D. quadrilobata + Macoma</w:t>
      </w:r>
      <w:r>
        <w:rPr>
          <w:rFonts w:hint="default" w:ascii="Times New Roman" w:hAnsi="Times New Roman" w:cs="Times New Roman"/>
          <w:sz w:val="24"/>
          <w:szCs w:val="24"/>
          <w:highlight w:val="darkGreen"/>
          <w:lang w:val="ru-RU"/>
        </w:rPr>
        <w:t>)</w:t>
      </w:r>
      <w:r>
        <w:rPr>
          <w:rFonts w:hint="default" w:ascii="Times New Roman" w:hAnsi="Times New Roman" w:cs="Times New Roman"/>
          <w:sz w:val="24"/>
          <w:szCs w:val="24"/>
          <w:highlight w:val="darkGreen"/>
          <w:lang w:val="en-US"/>
        </w:rPr>
        <w:t xml:space="preserve">. </w:t>
      </w:r>
      <w:r>
        <w:rPr>
          <w:rFonts w:hint="default" w:ascii="Times New Roman" w:hAnsi="Times New Roman" w:cs="Times New Roman"/>
          <w:sz w:val="24"/>
          <w:szCs w:val="24"/>
          <w:highlight w:val="darkGreen"/>
          <w:lang w:val="ru-RU"/>
        </w:rPr>
        <w:t xml:space="preserve">В какой-то момент поднятие уровня дна привело к выходу данного участка в верхнюю сблитораль или литораль, где и сформировалась мидиевая банка, на которой закончилась морская история этого участка.     </w:t>
      </w:r>
    </w:p>
    <w:p w14:paraId="2B3F5342">
      <w:pPr>
        <w:spacing w:after="0" w:line="240" w:lineRule="auto"/>
        <w:ind w:firstLine="709"/>
        <w:jc w:val="both"/>
        <w:rPr>
          <w:rFonts w:hint="default" w:ascii="Times New Roman" w:hAnsi="Times New Roman" w:cs="Times New Roman"/>
          <w:sz w:val="24"/>
          <w:szCs w:val="24"/>
          <w:highlight w:val="darkGreen"/>
          <w:lang w:val="ru-RU"/>
        </w:rPr>
      </w:pPr>
    </w:p>
    <w:p w14:paraId="2B99873D">
      <w:pPr>
        <w:spacing w:after="0" w:line="240" w:lineRule="auto"/>
        <w:ind w:firstLine="709"/>
        <w:jc w:val="both"/>
        <w:rPr>
          <w:rFonts w:hint="default" w:ascii="Times New Roman" w:hAnsi="Times New Roman" w:cs="Times New Roman"/>
          <w:sz w:val="24"/>
          <w:szCs w:val="24"/>
          <w:highlight w:val="darkGreen"/>
          <w:lang w:val="ru-RU"/>
        </w:rPr>
      </w:pPr>
      <w:r>
        <w:rPr>
          <w:rFonts w:hint="default" w:ascii="Times New Roman" w:hAnsi="Times New Roman" w:cs="Times New Roman"/>
          <w:sz w:val="24"/>
          <w:szCs w:val="24"/>
          <w:highlight w:val="darkGreen"/>
          <w:lang w:val="ru-RU"/>
        </w:rPr>
        <w:t>Таблица ++.  Глубина обитания рецентных видов беспозвоночных, отмеченных в разных слоях разреза.</w:t>
      </w:r>
      <w:bookmarkStart w:id="3" w:name="_GoBack"/>
      <w:bookmarkEnd w:id="3"/>
      <w:r>
        <w:rPr>
          <w:rFonts w:hint="default" w:ascii="Times New Roman" w:hAnsi="Times New Roman" w:cs="Times New Roman"/>
          <w:sz w:val="24"/>
          <w:szCs w:val="24"/>
          <w:highlight w:val="darkGreen"/>
          <w:lang w:val="ru-RU"/>
        </w:rPr>
        <w:t xml:space="preserve"> </w:t>
      </w:r>
    </w:p>
    <w:tbl>
      <w:tblPr>
        <w:tblW w:w="867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591"/>
        <w:gridCol w:w="1256"/>
        <w:gridCol w:w="2591"/>
        <w:gridCol w:w="2239"/>
      </w:tblGrid>
      <w:tr w14:paraId="1AE43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noWrap/>
            <w:vAlign w:val="center"/>
          </w:tcPr>
          <w:p w14:paraId="023BDE09">
            <w:pPr>
              <w:keepNext w:val="0"/>
              <w:keepLines w:val="0"/>
              <w:widowControl/>
              <w:suppressLineNumbers w:val="0"/>
              <w:jc w:val="left"/>
              <w:textAlignment w:val="center"/>
              <w:rPr>
                <w:rFonts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Species</w:t>
            </w:r>
          </w:p>
        </w:tc>
        <w:tc>
          <w:tcPr>
            <w:tcW w:w="1256" w:type="dxa"/>
            <w:tcBorders>
              <w:top w:val="nil"/>
              <w:left w:val="nil"/>
              <w:bottom w:val="nil"/>
              <w:right w:val="nil"/>
            </w:tcBorders>
            <w:shd w:val="clear"/>
            <w:noWrap/>
            <w:vAlign w:val="center"/>
          </w:tcPr>
          <w:p w14:paraId="648F5BA5">
            <w:pPr>
              <w:keepNext w:val="0"/>
              <w:keepLines w:val="0"/>
              <w:widowControl/>
              <w:suppressLineNumbers w:val="0"/>
              <w:jc w:val="lef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Number of OBIS references</w:t>
            </w:r>
          </w:p>
        </w:tc>
        <w:tc>
          <w:tcPr>
            <w:tcW w:w="2591" w:type="dxa"/>
            <w:tcBorders>
              <w:top w:val="nil"/>
              <w:left w:val="nil"/>
              <w:bottom w:val="nil"/>
              <w:right w:val="nil"/>
            </w:tcBorders>
            <w:shd w:val="clear"/>
            <w:noWrap/>
            <w:vAlign w:val="center"/>
          </w:tcPr>
          <w:p w14:paraId="50C55057">
            <w:pPr>
              <w:keepNext w:val="0"/>
              <w:keepLines w:val="0"/>
              <w:widowControl/>
              <w:suppressLineNumbers w:val="0"/>
              <w:jc w:val="lef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Median of species occurrence depth (m)</w:t>
            </w:r>
          </w:p>
        </w:tc>
        <w:tc>
          <w:tcPr>
            <w:tcW w:w="2239" w:type="dxa"/>
            <w:tcBorders>
              <w:top w:val="nil"/>
              <w:left w:val="nil"/>
              <w:bottom w:val="nil"/>
              <w:right w:val="nil"/>
            </w:tcBorders>
            <w:shd w:val="clear"/>
            <w:noWrap/>
            <w:vAlign w:val="center"/>
          </w:tcPr>
          <w:p w14:paraId="6AA3A6BA">
            <w:pPr>
              <w:keepNext w:val="0"/>
              <w:keepLines w:val="0"/>
              <w:widowControl/>
              <w:suppressLineNumbers w:val="0"/>
              <w:jc w:val="lef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Median depth of section layer (cm from surface)</w:t>
            </w:r>
          </w:p>
        </w:tc>
      </w:tr>
      <w:tr w14:paraId="72B58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noWrap/>
            <w:vAlign w:val="center"/>
          </w:tcPr>
          <w:p w14:paraId="112AA679">
            <w:pPr>
              <w:keepNext w:val="0"/>
              <w:keepLines w:val="0"/>
              <w:widowControl/>
              <w:suppressLineNumbers w:val="0"/>
              <w:jc w:val="lef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Mytilus edulis</w:t>
            </w:r>
          </w:p>
        </w:tc>
        <w:tc>
          <w:tcPr>
            <w:tcW w:w="1256" w:type="dxa"/>
            <w:tcBorders>
              <w:top w:val="nil"/>
              <w:left w:val="nil"/>
              <w:bottom w:val="nil"/>
              <w:right w:val="nil"/>
            </w:tcBorders>
            <w:shd w:val="clear"/>
            <w:noWrap/>
            <w:vAlign w:val="center"/>
          </w:tcPr>
          <w:p w14:paraId="5C60CAA0">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4529</w:t>
            </w:r>
          </w:p>
        </w:tc>
        <w:tc>
          <w:tcPr>
            <w:tcW w:w="2591" w:type="dxa"/>
            <w:tcBorders>
              <w:top w:val="nil"/>
              <w:left w:val="nil"/>
              <w:bottom w:val="nil"/>
              <w:right w:val="nil"/>
            </w:tcBorders>
            <w:shd w:val="clear"/>
            <w:noWrap/>
            <w:vAlign w:val="center"/>
          </w:tcPr>
          <w:p w14:paraId="61B17B48">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 xml:space="preserve">10 </w:t>
            </w:r>
          </w:p>
        </w:tc>
        <w:tc>
          <w:tcPr>
            <w:tcW w:w="2239" w:type="dxa"/>
            <w:tcBorders>
              <w:top w:val="nil"/>
              <w:left w:val="nil"/>
              <w:bottom w:val="nil"/>
              <w:right w:val="nil"/>
            </w:tcBorders>
            <w:shd w:val="clear"/>
            <w:noWrap/>
            <w:vAlign w:val="center"/>
          </w:tcPr>
          <w:p w14:paraId="7801BFB1">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45</w:t>
            </w:r>
          </w:p>
        </w:tc>
      </w:tr>
      <w:tr w14:paraId="6C6D8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noWrap/>
            <w:vAlign w:val="center"/>
          </w:tcPr>
          <w:p w14:paraId="25E43BE3">
            <w:pPr>
              <w:keepNext w:val="0"/>
              <w:keepLines w:val="0"/>
              <w:widowControl/>
              <w:suppressLineNumbers w:val="0"/>
              <w:jc w:val="lef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Dipolydora quadrilobata</w:t>
            </w:r>
          </w:p>
        </w:tc>
        <w:tc>
          <w:tcPr>
            <w:tcW w:w="1256" w:type="dxa"/>
            <w:tcBorders>
              <w:top w:val="nil"/>
              <w:left w:val="nil"/>
              <w:bottom w:val="nil"/>
              <w:right w:val="nil"/>
            </w:tcBorders>
            <w:shd w:val="clear"/>
            <w:noWrap/>
            <w:vAlign w:val="center"/>
          </w:tcPr>
          <w:p w14:paraId="0D9CAE45">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369</w:t>
            </w:r>
          </w:p>
        </w:tc>
        <w:tc>
          <w:tcPr>
            <w:tcW w:w="2591" w:type="dxa"/>
            <w:tcBorders>
              <w:top w:val="nil"/>
              <w:left w:val="nil"/>
              <w:bottom w:val="nil"/>
              <w:right w:val="nil"/>
            </w:tcBorders>
            <w:shd w:val="clear"/>
            <w:noWrap/>
            <w:vAlign w:val="center"/>
          </w:tcPr>
          <w:p w14:paraId="3552F242">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 xml:space="preserve">19 </w:t>
            </w:r>
          </w:p>
        </w:tc>
        <w:tc>
          <w:tcPr>
            <w:tcW w:w="2239" w:type="dxa"/>
            <w:tcBorders>
              <w:top w:val="nil"/>
              <w:left w:val="nil"/>
              <w:bottom w:val="nil"/>
              <w:right w:val="nil"/>
            </w:tcBorders>
            <w:shd w:val="clear"/>
            <w:noWrap/>
            <w:vAlign w:val="center"/>
          </w:tcPr>
          <w:p w14:paraId="3A5B1242">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80</w:t>
            </w:r>
          </w:p>
        </w:tc>
      </w:tr>
      <w:tr w14:paraId="4C481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noWrap/>
            <w:vAlign w:val="center"/>
          </w:tcPr>
          <w:p w14:paraId="633128C6">
            <w:pPr>
              <w:keepNext w:val="0"/>
              <w:keepLines w:val="0"/>
              <w:widowControl/>
              <w:suppressLineNumbers w:val="0"/>
              <w:jc w:val="lef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Galathowenia oculata</w:t>
            </w:r>
          </w:p>
        </w:tc>
        <w:tc>
          <w:tcPr>
            <w:tcW w:w="1256" w:type="dxa"/>
            <w:tcBorders>
              <w:top w:val="nil"/>
              <w:left w:val="nil"/>
              <w:bottom w:val="nil"/>
              <w:right w:val="nil"/>
            </w:tcBorders>
            <w:shd w:val="clear"/>
            <w:noWrap/>
            <w:vAlign w:val="center"/>
          </w:tcPr>
          <w:p w14:paraId="1920CE94">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13616</w:t>
            </w:r>
          </w:p>
        </w:tc>
        <w:tc>
          <w:tcPr>
            <w:tcW w:w="2591" w:type="dxa"/>
            <w:tcBorders>
              <w:top w:val="nil"/>
              <w:left w:val="nil"/>
              <w:bottom w:val="nil"/>
              <w:right w:val="nil"/>
            </w:tcBorders>
            <w:shd w:val="clear"/>
            <w:noWrap/>
            <w:vAlign w:val="center"/>
          </w:tcPr>
          <w:p w14:paraId="7DB1A249">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 xml:space="preserve">171 </w:t>
            </w:r>
          </w:p>
        </w:tc>
        <w:tc>
          <w:tcPr>
            <w:tcW w:w="2239" w:type="dxa"/>
            <w:tcBorders>
              <w:top w:val="nil"/>
              <w:left w:val="nil"/>
              <w:bottom w:val="nil"/>
              <w:right w:val="nil"/>
            </w:tcBorders>
            <w:shd w:val="clear"/>
            <w:noWrap/>
            <w:vAlign w:val="center"/>
          </w:tcPr>
          <w:p w14:paraId="278F0F83">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140</w:t>
            </w:r>
          </w:p>
        </w:tc>
      </w:tr>
      <w:tr w14:paraId="6118C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noWrap/>
            <w:vAlign w:val="center"/>
          </w:tcPr>
          <w:p w14:paraId="22B9177E">
            <w:pPr>
              <w:keepNext w:val="0"/>
              <w:keepLines w:val="0"/>
              <w:widowControl/>
              <w:suppressLineNumbers w:val="0"/>
              <w:jc w:val="lef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Portlandia arctica</w:t>
            </w:r>
          </w:p>
        </w:tc>
        <w:tc>
          <w:tcPr>
            <w:tcW w:w="1256" w:type="dxa"/>
            <w:tcBorders>
              <w:top w:val="nil"/>
              <w:left w:val="nil"/>
              <w:bottom w:val="nil"/>
              <w:right w:val="nil"/>
            </w:tcBorders>
            <w:shd w:val="clear"/>
            <w:noWrap/>
            <w:vAlign w:val="center"/>
          </w:tcPr>
          <w:p w14:paraId="7D64A256">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301</w:t>
            </w:r>
          </w:p>
        </w:tc>
        <w:tc>
          <w:tcPr>
            <w:tcW w:w="2591" w:type="dxa"/>
            <w:tcBorders>
              <w:top w:val="nil"/>
              <w:left w:val="nil"/>
              <w:bottom w:val="nil"/>
              <w:right w:val="nil"/>
            </w:tcBorders>
            <w:shd w:val="clear"/>
            <w:noWrap/>
            <w:vAlign w:val="center"/>
          </w:tcPr>
          <w:p w14:paraId="0C449E8F">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 xml:space="preserve">25 </w:t>
            </w:r>
          </w:p>
        </w:tc>
        <w:tc>
          <w:tcPr>
            <w:tcW w:w="2239" w:type="dxa"/>
            <w:tcBorders>
              <w:top w:val="nil"/>
              <w:left w:val="nil"/>
              <w:bottom w:val="nil"/>
              <w:right w:val="nil"/>
            </w:tcBorders>
            <w:shd w:val="clear"/>
            <w:noWrap/>
            <w:vAlign w:val="center"/>
          </w:tcPr>
          <w:p w14:paraId="6CDD4954">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140</w:t>
            </w:r>
          </w:p>
        </w:tc>
      </w:tr>
      <w:tr w14:paraId="0FE01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noWrap/>
            <w:vAlign w:val="center"/>
          </w:tcPr>
          <w:p w14:paraId="3F06AEC0">
            <w:pPr>
              <w:keepNext w:val="0"/>
              <w:keepLines w:val="0"/>
              <w:widowControl/>
              <w:suppressLineNumbers w:val="0"/>
              <w:jc w:val="lef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Nicomache minor</w:t>
            </w:r>
          </w:p>
        </w:tc>
        <w:tc>
          <w:tcPr>
            <w:tcW w:w="1256" w:type="dxa"/>
            <w:tcBorders>
              <w:top w:val="nil"/>
              <w:left w:val="nil"/>
              <w:bottom w:val="nil"/>
              <w:right w:val="nil"/>
            </w:tcBorders>
            <w:shd w:val="clear"/>
            <w:noWrap/>
            <w:vAlign w:val="center"/>
          </w:tcPr>
          <w:p w14:paraId="29432657">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23</w:t>
            </w:r>
          </w:p>
        </w:tc>
        <w:tc>
          <w:tcPr>
            <w:tcW w:w="2591" w:type="dxa"/>
            <w:tcBorders>
              <w:top w:val="nil"/>
              <w:left w:val="nil"/>
              <w:bottom w:val="nil"/>
              <w:right w:val="nil"/>
            </w:tcBorders>
            <w:shd w:val="clear"/>
            <w:noWrap/>
            <w:vAlign w:val="center"/>
          </w:tcPr>
          <w:p w14:paraId="21703243">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 xml:space="preserve">94 </w:t>
            </w:r>
          </w:p>
        </w:tc>
        <w:tc>
          <w:tcPr>
            <w:tcW w:w="2239" w:type="dxa"/>
            <w:tcBorders>
              <w:top w:val="nil"/>
              <w:left w:val="nil"/>
              <w:bottom w:val="nil"/>
              <w:right w:val="nil"/>
            </w:tcBorders>
            <w:shd w:val="clear"/>
            <w:noWrap/>
            <w:vAlign w:val="center"/>
          </w:tcPr>
          <w:p w14:paraId="261F0922">
            <w:pPr>
              <w:keepNext w:val="0"/>
              <w:keepLines w:val="0"/>
              <w:widowControl/>
              <w:suppressLineNumbers w:val="0"/>
              <w:jc w:val="right"/>
              <w:textAlignment w:val="center"/>
              <w:rPr>
                <w:rFonts w:hint="default" w:ascii="Calibri" w:hAnsi="Calibri" w:cs="Calibri"/>
                <w:i w:val="0"/>
                <w:iCs w:val="0"/>
                <w:color w:val="000000"/>
                <w:highlight w:val="darkGreen"/>
                <w:u w:val="none"/>
              </w:rPr>
            </w:pPr>
            <w:r>
              <w:rPr>
                <w:rFonts w:hint="default" w:ascii="Calibri" w:hAnsi="Calibri" w:eastAsia="SimSun" w:cs="Calibri"/>
                <w:i w:val="0"/>
                <w:iCs w:val="0"/>
                <w:color w:val="000000"/>
                <w:kern w:val="0"/>
                <w:sz w:val="24"/>
                <w:szCs w:val="24"/>
                <w:highlight w:val="darkGreen"/>
                <w:u w:val="none"/>
                <w:bdr w:val="none" w:color="auto" w:sz="0" w:space="0"/>
                <w:lang w:val="en-US" w:eastAsia="zh-CN" w:bidi="ar"/>
              </w:rPr>
              <w:t>225</w:t>
            </w:r>
          </w:p>
        </w:tc>
      </w:tr>
    </w:tbl>
    <w:p w14:paraId="679B1FC8">
      <w:pPr>
        <w:spacing w:after="0" w:line="240" w:lineRule="auto"/>
        <w:ind w:firstLine="709"/>
        <w:jc w:val="both"/>
        <w:rPr>
          <w:rFonts w:ascii="Times New Roman" w:hAnsi="Times New Roman" w:cs="Times New Roman"/>
          <w:sz w:val="24"/>
          <w:szCs w:val="24"/>
          <w:highlight w:val="darkGreen"/>
        </w:rPr>
      </w:pPr>
    </w:p>
    <w:p w14:paraId="05CAD63F">
      <w:pPr>
        <w:spacing w:after="0" w:line="240" w:lineRule="auto"/>
        <w:ind w:firstLine="709"/>
        <w:jc w:val="both"/>
        <w:rPr>
          <w:rFonts w:hint="default" w:ascii="Times New Roman" w:hAnsi="Times New Roman" w:cs="Times New Roman"/>
          <w:sz w:val="24"/>
          <w:szCs w:val="24"/>
          <w:highlight w:val="darkGreen"/>
          <w:lang w:val="en-US"/>
        </w:rPr>
      </w:pPr>
    </w:p>
    <w:p w14:paraId="25FCA377">
      <w:pPr>
        <w:spacing w:after="0" w:line="240" w:lineRule="auto"/>
        <w:ind w:firstLine="709"/>
        <w:jc w:val="both"/>
        <w:rPr>
          <w:rFonts w:ascii="Times New Roman" w:hAnsi="Times New Roman" w:cs="Times New Roman"/>
          <w:sz w:val="24"/>
          <w:szCs w:val="24"/>
        </w:rPr>
      </w:pPr>
    </w:p>
    <w:p w14:paraId="0D639CB3">
      <w:pPr>
        <w:spacing w:after="0" w:line="240" w:lineRule="auto"/>
        <w:ind w:firstLine="709"/>
        <w:jc w:val="both"/>
        <w:rPr>
          <w:rFonts w:ascii="Times New Roman" w:hAnsi="Times New Roman" w:cs="Times New Roman"/>
          <w:sz w:val="24"/>
          <w:szCs w:val="24"/>
        </w:rPr>
      </w:pPr>
    </w:p>
    <w:p w14:paraId="464301BC">
      <w:pPr>
        <w:spacing w:after="0" w:line="240" w:lineRule="auto"/>
        <w:ind w:firstLine="709"/>
        <w:jc w:val="both"/>
        <w:rPr>
          <w:rFonts w:ascii="Times New Roman" w:hAnsi="Times New Roman" w:cs="Times New Roman"/>
          <w:sz w:val="24"/>
          <w:szCs w:val="24"/>
        </w:rPr>
      </w:pPr>
    </w:p>
    <w:p w14:paraId="72CB5526">
      <w:pPr>
        <w:spacing w:after="0" w:line="240" w:lineRule="auto"/>
        <w:ind w:firstLine="709"/>
        <w:jc w:val="both"/>
        <w:rPr>
          <w:rFonts w:ascii="Times New Roman" w:hAnsi="Times New Roman" w:cs="Times New Roman"/>
          <w:sz w:val="24"/>
          <w:szCs w:val="24"/>
        </w:rPr>
      </w:pPr>
    </w:p>
    <w:p w14:paraId="60C1B00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БЛАГОДАРНОСТИ</w:t>
      </w:r>
    </w:p>
    <w:p w14:paraId="5917C6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Исследования были выполнены благодаря финансовой поддержке Российского Научного Фонда, грант 22-17-00081 (полевые исследования, оптико-люминесцентное датирование). Радиоуглеродное датирование выполнялась в рамках ГЗ ИГ РАН </w:t>
      </w:r>
      <w:r>
        <w:rPr>
          <w:rFonts w:ascii="Times New Roman" w:hAnsi="Times New Roman" w:cs="Times New Roman"/>
          <w:sz w:val="24"/>
          <w:szCs w:val="24"/>
          <w:lang w:val="en-US"/>
        </w:rPr>
        <w:t>FMWS</w:t>
      </w:r>
      <w:r>
        <w:rPr>
          <w:rFonts w:ascii="Times New Roman" w:hAnsi="Times New Roman" w:cs="Times New Roman"/>
          <w:sz w:val="24"/>
          <w:szCs w:val="24"/>
        </w:rPr>
        <w:t>-2024-0003. Исследования ледниковых… в рамках ГЗ ГИ КНЦ РАН (</w:t>
      </w:r>
      <w:r>
        <w:rPr>
          <w:rFonts w:ascii="Times New Roman" w:hAnsi="Times New Roman" w:cs="Times New Roman"/>
          <w:sz w:val="24"/>
          <w:szCs w:val="24"/>
          <w:highlight w:val="yellow"/>
        </w:rPr>
        <w:t>Андрей, пиши</w:t>
      </w:r>
      <w:r>
        <w:rPr>
          <w:rFonts w:ascii="Times New Roman" w:hAnsi="Times New Roman" w:cs="Times New Roman"/>
          <w:sz w:val="24"/>
          <w:szCs w:val="24"/>
        </w:rPr>
        <w:t>). Диатомовый анализ… (</w:t>
      </w:r>
      <w:r>
        <w:rPr>
          <w:rFonts w:ascii="Times New Roman" w:hAnsi="Times New Roman" w:cs="Times New Roman"/>
          <w:sz w:val="24"/>
          <w:szCs w:val="24"/>
          <w:highlight w:val="blue"/>
        </w:rPr>
        <w:t>Оля, добавляй</w:t>
      </w:r>
      <w:r>
        <w:rPr>
          <w:rFonts w:ascii="Times New Roman" w:hAnsi="Times New Roman" w:cs="Times New Roman"/>
          <w:sz w:val="24"/>
          <w:szCs w:val="24"/>
        </w:rPr>
        <w:t>).</w:t>
      </w:r>
    </w:p>
    <w:p w14:paraId="14F396A6">
      <w:pPr>
        <w:spacing w:after="0" w:line="240" w:lineRule="auto"/>
        <w:ind w:firstLine="709"/>
        <w:jc w:val="both"/>
        <w:rPr>
          <w:rFonts w:ascii="Times New Roman" w:hAnsi="Times New Roman" w:cs="Times New Roman"/>
          <w:sz w:val="24"/>
          <w:szCs w:val="24"/>
        </w:rPr>
      </w:pPr>
    </w:p>
    <w:p w14:paraId="5FE70CFC">
      <w:pPr>
        <w:spacing w:after="0" w:line="240" w:lineRule="auto"/>
        <w:ind w:firstLine="709"/>
        <w:jc w:val="both"/>
        <w:rPr>
          <w:rFonts w:ascii="Times New Roman" w:hAnsi="Times New Roman" w:cs="Times New Roman"/>
          <w:sz w:val="24"/>
          <w:szCs w:val="24"/>
        </w:rPr>
      </w:pPr>
    </w:p>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ev1" w:date="2025-10-09T16:43:00Z" w:initials="Rev1">
    <w:p w14:paraId="3DE9FF9B">
      <w:pPr>
        <w:pStyle w:val="8"/>
      </w:pPr>
      <w:r>
        <w:t xml:space="preserve">я бы эту часть не использовал, но это на Ваше усмотрение) </w:t>
      </w:r>
    </w:p>
  </w:comment>
  <w:comment w:id="1" w:author="Zaretskaya Nataliya" w:date="2025-10-10T10:40:00Z" w:initials="ZN">
    <w:p w14:paraId="4D6FE6E4">
      <w:pPr>
        <w:pStyle w:val="8"/>
      </w:pPr>
      <w:r>
        <w:t>Наверное, ты прав. Но пока пусть повисит))</w:t>
      </w:r>
    </w:p>
  </w:comment>
  <w:comment w:id="2" w:author="Rev1" w:date="2025-10-09T15:59:00Z" w:initials="Rev1">
    <w:p w14:paraId="18EB735E">
      <w:pPr>
        <w:pStyle w:val="8"/>
      </w:pPr>
      <w:r>
        <w:t xml:space="preserve">мы можем ссылаться на книжку-сборник полевой экскурсии 2024 года? </w:t>
      </w:r>
    </w:p>
  </w:comment>
  <w:comment w:id="3" w:author="Zaretskaya Nataliya" w:date="2025-10-10T10:49:00Z" w:initials="ZN">
    <w:p w14:paraId="6832FDBC">
      <w:pPr>
        <w:pStyle w:val="8"/>
      </w:pPr>
      <w:r>
        <w:t>Да, но разве про оз ОП писала? Если это твоя глава, ты на себя и ссылайся</w:t>
      </w:r>
    </w:p>
  </w:comment>
  <w:comment w:id="4" w:author="Zaretskaya Nataliya" w:date="2025-10-10T10:53:00Z" w:initials="ZN">
    <w:p w14:paraId="6AAEAE9C">
      <w:pPr>
        <w:pStyle w:val="8"/>
      </w:pPr>
      <w:r>
        <w:t xml:space="preserve">Андрей, есть такой рисунок из Гусевских 2022 года, явно ты рисовал. Его надо будет переделать немного, и как карта фактов он хорош. Только надо врезку с Белым морем на глобальной карте. Если что - у меня есть. </w:t>
      </w:r>
    </w:p>
  </w:comment>
  <w:comment w:id="5" w:author="Rev1" w:date="2025-10-09T16:41:00Z" w:initials="Rev1">
    <w:p w14:paraId="65C67C46">
      <w:pPr>
        <w:pStyle w:val="8"/>
      </w:pPr>
      <w:r>
        <w:t>не знаю, нужна ли тут эта часть, или может быть ее можно объединить с какой то другой частью</w:t>
      </w:r>
    </w:p>
  </w:comment>
  <w:comment w:id="6" w:author="Zaretskaya Nataliya" w:date="2025-10-10T10:55:00Z" w:initials="ZN">
    <w:p w14:paraId="360348E6">
      <w:pPr>
        <w:pStyle w:val="8"/>
      </w:pPr>
      <w:r>
        <w:t>Я думаю, лучше объединить</w:t>
      </w:r>
    </w:p>
  </w:comment>
  <w:comment w:id="7" w:author="google1599737165" w:date="2025-10-14T15:26:35Z" w:initials="">
    <w:p w14:paraId="24BAFCA4">
      <w:pPr>
        <w:pStyle w:val="8"/>
      </w:pPr>
      <w:r>
        <w:rPr>
          <w:rFonts w:ascii="Segoe UI" w:hAnsi="Segoe UI" w:eastAsia="Segoe UI" w:cs="Segoe UI"/>
          <w:i w:val="0"/>
          <w:iCs w:val="0"/>
          <w:caps w:val="0"/>
          <w:color w:val="0F1115"/>
          <w:spacing w:val="0"/>
          <w:sz w:val="19"/>
          <w:szCs w:val="19"/>
          <w:shd w:val="clear" w:fill="FFFFFF"/>
        </w:rPr>
        <w:t>OBIS. (202</w:t>
      </w:r>
      <w:r>
        <w:rPr>
          <w:rFonts w:hint="default" w:ascii="Segoe UI" w:hAnsi="Segoe UI" w:eastAsia="Segoe UI" w:cs="Segoe UI"/>
          <w:i w:val="0"/>
          <w:iCs w:val="0"/>
          <w:caps w:val="0"/>
          <w:color w:val="0F1115"/>
          <w:spacing w:val="0"/>
          <w:sz w:val="19"/>
          <w:szCs w:val="19"/>
          <w:shd w:val="clear" w:fill="FFFFFF"/>
          <w:lang w:val="ru-RU"/>
        </w:rPr>
        <w:t>5</w:t>
      </w:r>
      <w:r>
        <w:rPr>
          <w:rFonts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 </w:t>
      </w:r>
      <w:r>
        <w:rPr>
          <w:rStyle w:val="5"/>
          <w:rFonts w:hint="default" w:ascii="Segoe UI" w:hAnsi="Segoe UI" w:eastAsia="Segoe UI" w:cs="Segoe UI"/>
          <w:caps w:val="0"/>
          <w:color w:val="0F1115"/>
          <w:spacing w:val="0"/>
          <w:sz w:val="19"/>
          <w:szCs w:val="19"/>
          <w:shd w:val="clear" w:fill="FFFFFF"/>
        </w:rPr>
        <w:t>Ocean Biodiversity Information System</w:t>
      </w:r>
      <w:r>
        <w:rPr>
          <w:rFonts w:hint="default" w:ascii="Segoe UI" w:hAnsi="Segoe UI" w:eastAsia="Segoe UI" w:cs="Segoe UI"/>
          <w:i w:val="0"/>
          <w:iCs w:val="0"/>
          <w:caps w:val="0"/>
          <w:color w:val="0F1115"/>
          <w:spacing w:val="0"/>
          <w:sz w:val="19"/>
          <w:szCs w:val="19"/>
          <w:shd w:val="clear" w:fill="FFFFFF"/>
        </w:rPr>
        <w:t xml:space="preserve">. Retrieved October </w:t>
      </w:r>
      <w:r>
        <w:rPr>
          <w:rFonts w:hint="default" w:ascii="Segoe UI" w:hAnsi="Segoe UI" w:eastAsia="Segoe UI" w:cs="Segoe UI"/>
          <w:i w:val="0"/>
          <w:iCs w:val="0"/>
          <w:caps w:val="0"/>
          <w:color w:val="0F1115"/>
          <w:spacing w:val="0"/>
          <w:sz w:val="19"/>
          <w:szCs w:val="19"/>
          <w:shd w:val="clear" w:fill="FFFFFF"/>
          <w:lang w:val="ru-RU"/>
        </w:rPr>
        <w:t>12</w:t>
      </w:r>
      <w:r>
        <w:rPr>
          <w:rFonts w:hint="default" w:ascii="Segoe UI" w:hAnsi="Segoe UI" w:eastAsia="Segoe UI" w:cs="Segoe UI"/>
          <w:i w:val="0"/>
          <w:iCs w:val="0"/>
          <w:caps w:val="0"/>
          <w:color w:val="0F1115"/>
          <w:spacing w:val="0"/>
          <w:sz w:val="19"/>
          <w:szCs w:val="19"/>
          <w:shd w:val="clear" w:fill="FFFFFF"/>
        </w:rPr>
        <w:t>, 202</w:t>
      </w:r>
      <w:r>
        <w:rPr>
          <w:rFonts w:hint="default" w:ascii="Segoe UI" w:hAnsi="Segoe UI" w:eastAsia="Segoe UI" w:cs="Segoe UI"/>
          <w:i w:val="0"/>
          <w:iCs w:val="0"/>
          <w:caps w:val="0"/>
          <w:color w:val="0F1115"/>
          <w:spacing w:val="0"/>
          <w:sz w:val="19"/>
          <w:szCs w:val="19"/>
          <w:shd w:val="clear" w:fill="FFFFFF"/>
          <w:lang w:val="ru-RU"/>
        </w:rPr>
        <w:t>5</w:t>
      </w:r>
      <w:r>
        <w:rPr>
          <w:rFonts w:hint="default" w:ascii="Segoe UI" w:hAnsi="Segoe UI" w:eastAsia="Segoe UI" w:cs="Segoe UI"/>
          <w:i w:val="0"/>
          <w:iCs w:val="0"/>
          <w:caps w:val="0"/>
          <w:color w:val="0F1115"/>
          <w:spacing w:val="0"/>
          <w:sz w:val="19"/>
          <w:szCs w:val="19"/>
          <w:shd w:val="clear" w:fill="FFFFFF"/>
        </w:rPr>
        <w:t>, from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"https://obis.org/"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Style w:val="6"/>
          <w:rFonts w:hint="default" w:ascii="Segoe UI" w:hAnsi="Segoe UI" w:eastAsia="Segoe UI" w:cs="Segoe UI"/>
          <w:i w:val="0"/>
          <w:iCs w:val="0"/>
          <w:caps w:val="0"/>
          <w:color w:val="3964FE"/>
          <w:spacing w:val="0"/>
          <w:sz w:val="19"/>
          <w:szCs w:val="19"/>
          <w:u w:val="none"/>
          <w:shd w:val="clear" w:fill="FFFFFF"/>
        </w:rPr>
        <w:t>https://obis.org</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DE9FF9B" w15:done="0"/>
  <w15:commentEx w15:paraId="4D6FE6E4" w15:done="0" w15:paraIdParent="3DE9FF9B"/>
  <w15:commentEx w15:paraId="18EB735E" w15:done="0"/>
  <w15:commentEx w15:paraId="6832FDBC" w15:done="0" w15:paraIdParent="18EB735E"/>
  <w15:commentEx w15:paraId="6AAEAE9C" w15:done="0"/>
  <w15:commentEx w15:paraId="65C67C46" w15:done="0"/>
  <w15:commentEx w15:paraId="360348E6" w15:done="0" w15:paraIdParent="65C67C46"/>
  <w15:commentEx w15:paraId="24BAFCA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NewtonC">
    <w:altName w:val="Times New Roman"/>
    <w:panose1 w:val="00000000000000000000"/>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ev1">
    <w15:presenceInfo w15:providerId="None" w15:userId="Rev1"/>
  </w15:person>
  <w15:person w15:author="Zaretskaya Nataliya">
    <w15:presenceInfo w15:providerId="Windows Live" w15:userId="8a9a6df09a8189d0"/>
  </w15:person>
  <w15:person w15:author="google1599737165">
    <w15:presenceInfo w15:providerId="WPS Office" w15:userId="24258882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2E1"/>
    <w:rsid w:val="00031DBF"/>
    <w:rsid w:val="000F5DBE"/>
    <w:rsid w:val="001322E1"/>
    <w:rsid w:val="002356C5"/>
    <w:rsid w:val="002503B5"/>
    <w:rsid w:val="0029673B"/>
    <w:rsid w:val="00297A5A"/>
    <w:rsid w:val="00300939"/>
    <w:rsid w:val="003C0EB8"/>
    <w:rsid w:val="00402B18"/>
    <w:rsid w:val="00403FB8"/>
    <w:rsid w:val="00412E1B"/>
    <w:rsid w:val="00467EF5"/>
    <w:rsid w:val="004D46BF"/>
    <w:rsid w:val="004E51D5"/>
    <w:rsid w:val="004F0E38"/>
    <w:rsid w:val="00573CA6"/>
    <w:rsid w:val="005D29EF"/>
    <w:rsid w:val="00672953"/>
    <w:rsid w:val="00684E8C"/>
    <w:rsid w:val="00721C5E"/>
    <w:rsid w:val="0073480E"/>
    <w:rsid w:val="00771824"/>
    <w:rsid w:val="007A137B"/>
    <w:rsid w:val="007C4242"/>
    <w:rsid w:val="00815A38"/>
    <w:rsid w:val="008A1A3B"/>
    <w:rsid w:val="008D235B"/>
    <w:rsid w:val="0090249C"/>
    <w:rsid w:val="00916D52"/>
    <w:rsid w:val="009173AA"/>
    <w:rsid w:val="00926786"/>
    <w:rsid w:val="009762EF"/>
    <w:rsid w:val="00A127E5"/>
    <w:rsid w:val="00A27A8B"/>
    <w:rsid w:val="00AB1106"/>
    <w:rsid w:val="00AB1991"/>
    <w:rsid w:val="00B00BE2"/>
    <w:rsid w:val="00BB73EB"/>
    <w:rsid w:val="00BD0EDC"/>
    <w:rsid w:val="00C16AE4"/>
    <w:rsid w:val="00C35C60"/>
    <w:rsid w:val="00C50B3F"/>
    <w:rsid w:val="00C93CD9"/>
    <w:rsid w:val="00D10271"/>
    <w:rsid w:val="00D4782C"/>
    <w:rsid w:val="00DD1E2F"/>
    <w:rsid w:val="00DD3336"/>
    <w:rsid w:val="00DD47B2"/>
    <w:rsid w:val="00E05BC9"/>
    <w:rsid w:val="00E0788A"/>
    <w:rsid w:val="00E4686D"/>
    <w:rsid w:val="00E653AE"/>
    <w:rsid w:val="00E764D9"/>
    <w:rsid w:val="00EB3211"/>
    <w:rsid w:val="00EC4496"/>
    <w:rsid w:val="00F74810"/>
    <w:rsid w:val="1DD67A76"/>
    <w:rsid w:val="225E09F9"/>
    <w:rsid w:val="2FFE5054"/>
    <w:rsid w:val="37974528"/>
    <w:rsid w:val="572A3D84"/>
    <w:rsid w:val="605853A5"/>
    <w:rsid w:val="7C290DB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character" w:styleId="5">
    <w:name w:val="Emphasis"/>
    <w:basedOn w:val="2"/>
    <w:autoRedefine/>
    <w:qFormat/>
    <w:uiPriority w:val="20"/>
    <w:rPr>
      <w:i/>
      <w:iCs/>
    </w:rPr>
  </w:style>
  <w:style w:type="character" w:styleId="6">
    <w:name w:val="Hyperlink"/>
    <w:basedOn w:val="2"/>
    <w:autoRedefine/>
    <w:semiHidden/>
    <w:unhideWhenUsed/>
    <w:qFormat/>
    <w:uiPriority w:val="99"/>
    <w:rPr>
      <w:color w:val="0000FF"/>
      <w:u w:val="single"/>
    </w:rPr>
  </w:style>
  <w:style w:type="paragraph" w:styleId="7">
    <w:name w:val="Balloon Text"/>
    <w:basedOn w:val="1"/>
    <w:link w:val="12"/>
    <w:semiHidden/>
    <w:unhideWhenUsed/>
    <w:qFormat/>
    <w:uiPriority w:val="99"/>
    <w:pPr>
      <w:spacing w:after="0" w:line="240" w:lineRule="auto"/>
    </w:pPr>
    <w:rPr>
      <w:rFonts w:ascii="Tahoma" w:hAnsi="Tahoma" w:cs="Tahoma"/>
      <w:sz w:val="16"/>
      <w:szCs w:val="16"/>
    </w:rPr>
  </w:style>
  <w:style w:type="paragraph" w:styleId="8">
    <w:name w:val="annotation text"/>
    <w:basedOn w:val="1"/>
    <w:link w:val="10"/>
    <w:semiHidden/>
    <w:unhideWhenUsed/>
    <w:qFormat/>
    <w:uiPriority w:val="99"/>
    <w:pPr>
      <w:spacing w:line="240" w:lineRule="auto"/>
    </w:pPr>
    <w:rPr>
      <w:sz w:val="20"/>
      <w:szCs w:val="20"/>
    </w:rPr>
  </w:style>
  <w:style w:type="paragraph" w:styleId="9">
    <w:name w:val="annotation subject"/>
    <w:basedOn w:val="8"/>
    <w:next w:val="8"/>
    <w:link w:val="11"/>
    <w:semiHidden/>
    <w:unhideWhenUsed/>
    <w:qFormat/>
    <w:uiPriority w:val="99"/>
    <w:rPr>
      <w:b/>
      <w:bCs/>
    </w:rPr>
  </w:style>
  <w:style w:type="character" w:customStyle="1" w:styleId="10">
    <w:name w:val="Текст примечания Знак"/>
    <w:basedOn w:val="2"/>
    <w:link w:val="8"/>
    <w:semiHidden/>
    <w:qFormat/>
    <w:uiPriority w:val="99"/>
    <w:rPr>
      <w:sz w:val="20"/>
      <w:szCs w:val="20"/>
    </w:rPr>
  </w:style>
  <w:style w:type="character" w:customStyle="1" w:styleId="11">
    <w:name w:val="Тема примечания Знак"/>
    <w:basedOn w:val="10"/>
    <w:link w:val="9"/>
    <w:semiHidden/>
    <w:qFormat/>
    <w:uiPriority w:val="99"/>
    <w:rPr>
      <w:b/>
      <w:bCs/>
      <w:sz w:val="20"/>
      <w:szCs w:val="20"/>
    </w:rPr>
  </w:style>
  <w:style w:type="character" w:customStyle="1" w:styleId="12">
    <w:name w:val="Текст выноски Знак"/>
    <w:basedOn w:val="2"/>
    <w:link w:val="7"/>
    <w:semiHidden/>
    <w:qFormat/>
    <w:uiPriority w:val="99"/>
    <w:rPr>
      <w:rFonts w:ascii="Tahoma" w:hAnsi="Tahoma" w:cs="Tahoma"/>
      <w:sz w:val="16"/>
      <w:szCs w:val="16"/>
    </w:rPr>
  </w:style>
  <w:style w:type="paragraph" w:customStyle="1" w:styleId="13">
    <w:name w:val="Revision"/>
    <w:hidden/>
    <w:semiHidden/>
    <w:qFormat/>
    <w:uiPriority w:val="99"/>
    <w:pPr>
      <w:spacing w:after="0" w:line="240" w:lineRule="auto"/>
    </w:pPr>
    <w:rPr>
      <w:rFonts w:asciiTheme="minorHAnsi" w:hAnsiTheme="minorHAnsi" w:eastAsiaTheme="minorHAnsi" w:cstheme="minorBidi"/>
      <w:sz w:val="22"/>
      <w:szCs w:val="22"/>
      <w:lang w:val="ru-RU"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70967A-4E4E-4C1F-B59E-D57CEF22013D}">
  <ds:schemaRefs/>
</ds:datastoreItem>
</file>

<file path=docProps/app.xml><?xml version="1.0" encoding="utf-8"?>
<Properties xmlns="http://schemas.openxmlformats.org/officeDocument/2006/extended-properties" xmlns:vt="http://schemas.openxmlformats.org/officeDocument/2006/docPropsVTypes">
  <Template>Normal</Template>
  <Pages>9</Pages>
  <Words>2207</Words>
  <Characters>12585</Characters>
  <Lines>104</Lines>
  <Paragraphs>29</Paragraphs>
  <TotalTime>171</TotalTime>
  <ScaleCrop>false</ScaleCrop>
  <LinksUpToDate>false</LinksUpToDate>
  <CharactersWithSpaces>14763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2025-10-08T06:28:00Z</dcterms:created>
  <dc:creator>Наталия</dc:creator>
  <cp:lastModifiedBy>google1599737165</cp:lastModifiedBy>
  <dcterms:modified xsi:type="dcterms:W3CDTF">2025-10-14T17:48:25Z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191A3599AB1E4F75A8C163C9639A33CE_13</vt:lpwstr>
  </property>
</Properties>
</file>