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48.png" ContentType="image/png"/>
  <Override PartName="/word/media/rId52.png" ContentType="image/png"/>
  <Override PartName="/word/media/rId40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17"/>
      </w:pPr>
      <w:r>
        <w:t xml:space="preserve">Размерная структура мидиевых банок летом 2025 года</w:t>
      </w:r>
    </w:p>
    <w:p>
      <w:pPr>
        <w:pStyle w:val="24"/>
      </w:pPr>
      <w:r>
        <w:t xml:space="preserve">В. М. Хайтов</w:t>
      </w:r>
    </w:p>
    <w:p>
      <w:pPr>
        <w:pStyle w:val="25"/>
      </w:pPr>
      <w:r>
        <w:rPr>
          <w:b/>
          <w:bCs/>
        </w:rPr>
        <w:t xml:space="preserve">Хайтов В. М. Размерная структура мидиевых банок летом 2025 года</w:t>
      </w:r>
      <w:r>
        <w:t xml:space="preserve"> </w:t>
      </w:r>
      <w:r>
        <w:t xml:space="preserve">// Толмачева Е. Л. (ред.) Летопись природы Кандалакшского заповедника за 2025 год (ежегодный отчет). Кандалакша. Т.1 (Летопись природы Кандалакшского заповедника, кн. ++)</w:t>
      </w:r>
    </w:p>
    <w:p>
      <w:pPr>
        <w:pStyle w:val="25"/>
      </w:pPr>
      <w:r>
        <w:t xml:space="preserve">Рассматриваются данные по обилию и размерной структуре мидий на шести мидиевых банках, расположенных в акватории Вороньей губы и в Лувеньгском архипелаге.</w:t>
      </w:r>
    </w:p>
    <w:p>
      <w:pPr>
        <w:pStyle w:val="25"/>
      </w:pPr>
      <w:r>
        <w:rPr>
          <w:b/>
          <w:bCs/>
        </w:rPr>
        <w:t xml:space="preserve">Khaitov V.M., Size structure of mussel beds in summer 2025</w:t>
      </w:r>
      <w:r>
        <w:t xml:space="preserve"> </w:t>
      </w:r>
      <w:r>
        <w:t xml:space="preserve">// Tolmacheva E. L. (ed.) The Chronicle of Nature by the Kandalaksha Reserve for 2025 (Annual report). Kandalaksha. V.1. (The Chronicle of Nature by the Kandalaksha Reserve, Book N ++)</w:t>
      </w:r>
    </w:p>
    <w:p>
      <w:pPr>
        <w:pStyle w:val="25"/>
      </w:pPr>
      <w:r>
        <w:t xml:space="preserve">The chapter considers the abundance and size structure of mussels at 5 mussel beds situated in Voronia bay and in Luvenga archipelago.</w:t>
      </w:r>
    </w:p>
    <w:p>
      <w:pPr>
        <w:pStyle w:val="3"/>
      </w:pPr>
      <w:r>
        <w:t xml:space="preserve">Описание методики взятия проб приведено в аналогичной главе Летописи природы за 2019 год. В данной главе приводятся данные по размерной структуре мидий и их плотности поселения, полученные по стандартной методике в июле-августе 2025 г. и дается характеристика многолетней динамики наблюдаемых поселений.</w:t>
      </w:r>
    </w:p>
    <w:p>
      <w:pPr>
        <w:pStyle w:val="3"/>
      </w:pPr>
      <w:r>
        <w:t xml:space="preserve">В тексте использованы обозначения мидиевых банок, устоявшиеся в предыдущих изданиях «Летописи природы Кандалакшского заповедника».</w:t>
      </w:r>
    </w:p>
    <w:p>
      <w:pPr>
        <w:pStyle w:val="3"/>
      </w:pPr>
      <w:r>
        <w:rPr>
          <w:b/>
          <w:bCs/>
        </w:rPr>
        <w:t xml:space="preserve">Аэрофотосъемка мониторинговых мидиевых банок</w:t>
      </w:r>
    </w:p>
    <w:p>
      <w:pPr>
        <w:pStyle w:val="3"/>
      </w:pPr>
      <w:r>
        <w:t xml:space="preserve">Мидиевая банка</w:t>
      </w:r>
      <w:r>
        <w:t xml:space="preserve"> </w:t>
      </w:r>
      <w:r>
        <w:rPr>
          <w:i/>
          <w:iCs/>
        </w:rPr>
        <w:t xml:space="preserve">«Korg»</w:t>
      </w:r>
      <w:r>
        <w:t xml:space="preserve"> </w:t>
      </w:r>
      <w:r>
        <w:t xml:space="preserve">(67,110668 N; 32,642790 E,</w:t>
      </w:r>
      <w:r>
        <w:t xml:space="preserve"> </w:t>
      </w:r>
      <w:hyperlink w:anchor="fig-Korg">
        <w:r>
          <w:rPr>
            <w:rStyle w:val="14"/>
          </w:rPr>
          <w:t xml:space="preserve">Рис. 1</w:t>
        </w:r>
      </w:hyperlink>
      <w:r>
        <w:t xml:space="preserve">) Расположена на корге в районе о-вов Малый и Большой Куртяжные (Лувеньгский архипелаг).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Korg"/>
          <w:p>
            <w:pPr>
              <w:pStyle w:val="23"/>
              <w:jc w:val="center"/>
            </w:pPr>
            <w:r>
              <w:drawing>
                <wp:inline>
                  <wp:extent cx="3810000" cy="3317164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figures/korg-orthophoto_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3171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1: Вид мидиевой банки</w:t>
            </w:r>
            <w:r>
              <w:t xml:space="preserve"> </w:t>
            </w:r>
            <w:r>
              <w:rPr>
                <w:i/>
                <w:iCs/>
              </w:rPr>
              <w:t xml:space="preserve">korg</w:t>
            </w:r>
            <w:r>
              <w:t xml:space="preserve"> </w:t>
            </w:r>
            <w:r>
              <w:t xml:space="preserve">летом 2025 г. Линия очерчивает приблизительные границы, в которых производится отбор проб. Здесь и далее съемка с квадрокоптера, пилотируемого Александрой Пилипенко. A quadrocopter view of the mussel bed</w:t>
            </w:r>
            <w:r>
              <w:t xml:space="preserve"> </w:t>
            </w:r>
            <w:r>
              <w:rPr>
                <w:i/>
                <w:iCs/>
              </w:rPr>
              <w:t xml:space="preserve">korg</w:t>
            </w:r>
            <w:r>
              <w:t xml:space="preserve"> </w:t>
            </w:r>
            <w:r>
              <w:t xml:space="preserve">in summer 2025. The line shows the area of smplings.</w:t>
            </w:r>
          </w:p>
          <w:bookmarkEnd w:id="23"/>
        </w:tc>
      </w:tr>
    </w:tbl>
    <w:p>
      <w:r>
        <w:br w:type="page"/>
      </w:r>
    </w:p>
    <w:p>
      <w:pPr>
        <w:pStyle w:val="3"/>
      </w:pPr>
      <w:r>
        <w:t xml:space="preserve">Мидиевая банка</w:t>
      </w:r>
      <w:r>
        <w:t xml:space="preserve"> </w:t>
      </w:r>
      <w:r>
        <w:rPr>
          <w:i/>
          <w:iCs/>
        </w:rPr>
        <w:t xml:space="preserve">«Mat»</w:t>
      </w:r>
      <w:r>
        <w:t xml:space="preserve"> </w:t>
      </w:r>
      <w:r>
        <w:t xml:space="preserve">(67,113299 N; 32,642897 E,</w:t>
      </w:r>
      <w:r>
        <w:t xml:space="preserve"> </w:t>
      </w:r>
      <w:hyperlink w:anchor="fig-Mat">
        <w:r>
          <w:rPr>
            <w:rStyle w:val="14"/>
          </w:rPr>
          <w:t xml:space="preserve">Рис. 2</w:t>
        </w:r>
      </w:hyperlink>
      <w:r>
        <w:t xml:space="preserve">) Расположена на косе, идущей от материка, на расстоянии 260 м от предыдущей банки.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Mat"/>
          <w:p>
            <w:pPr>
              <w:pStyle w:val="23"/>
              <w:jc w:val="center"/>
            </w:pPr>
            <w:r>
              <w:drawing>
                <wp:inline>
                  <wp:extent cx="5715000" cy="4097054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figures/mat-orthophoto_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097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2: Вид мидиевой банки</w:t>
            </w:r>
            <w:r>
              <w:t xml:space="preserve"> </w:t>
            </w:r>
            <w:r>
              <w:rPr>
                <w:i/>
                <w:iCs/>
              </w:rPr>
              <w:t xml:space="preserve">mat</w:t>
            </w:r>
            <w:r>
              <w:t xml:space="preserve"> </w:t>
            </w:r>
            <w:r>
              <w:t xml:space="preserve">летом 2025 г. A quadrocopter view of the mussel bed</w:t>
            </w:r>
            <w:r>
              <w:t xml:space="preserve"> </w:t>
            </w:r>
            <w:r>
              <w:rPr>
                <w:i/>
                <w:iCs/>
              </w:rPr>
              <w:t xml:space="preserve">mat</w:t>
            </w:r>
            <w:r>
              <w:t xml:space="preserve"> </w:t>
            </w:r>
            <w:r>
              <w:t xml:space="preserve">in summer 2025</w:t>
            </w:r>
          </w:p>
          <w:bookmarkEnd w:id="27"/>
        </w:tc>
      </w:tr>
    </w:tbl>
    <w:p>
      <w:r>
        <w:br w:type="page"/>
      </w:r>
    </w:p>
    <w:p>
      <w:pPr>
        <w:pStyle w:val="3"/>
      </w:pPr>
      <w:r>
        <w:t xml:space="preserve">Мидиевая банка</w:t>
      </w:r>
      <w:r>
        <w:t xml:space="preserve"> </w:t>
      </w:r>
      <w:r>
        <w:rPr>
          <w:i/>
          <w:iCs/>
        </w:rPr>
        <w:t xml:space="preserve">«Vor2»</w:t>
      </w:r>
      <w:r>
        <w:t xml:space="preserve"> </w:t>
      </w:r>
      <w:r>
        <w:t xml:space="preserve">(66,939778 N; 32,43461 E,</w:t>
      </w:r>
      <w:r>
        <w:t xml:space="preserve"> </w:t>
      </w:r>
      <w:hyperlink w:anchor="fig-Vor2">
        <w:r>
          <w:rPr>
            <w:rStyle w:val="14"/>
          </w:rPr>
          <w:t xml:space="preserve">Рис. 3</w:t>
        </w:r>
      </w:hyperlink>
      <w:r>
        <w:t xml:space="preserve">) Банка расположена на нижней части литорали острова Воронинского, расположенного в куту Вороньей губы.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Vor2"/>
          <w:p>
            <w:pPr>
              <w:pStyle w:val="23"/>
              <w:jc w:val="center"/>
            </w:pPr>
            <w:r>
              <w:drawing>
                <wp:inline>
                  <wp:extent cx="3810000" cy="3893154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figures/vor2-orthophoto_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38931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3: Вид мидиевой банки</w:t>
            </w:r>
            <w:r>
              <w:t xml:space="preserve"> </w:t>
            </w:r>
            <w:r>
              <w:rPr>
                <w:i/>
                <w:iCs/>
              </w:rPr>
              <w:t xml:space="preserve">vor2</w:t>
            </w:r>
            <w:r>
              <w:t xml:space="preserve"> </w:t>
            </w:r>
            <w:r>
              <w:t xml:space="preserve">летом 2025 г. A quadrocopter view of the mussel bed</w:t>
            </w:r>
            <w:r>
              <w:t xml:space="preserve"> </w:t>
            </w:r>
            <w:r>
              <w:rPr>
                <w:i/>
                <w:iCs/>
              </w:rPr>
              <w:t xml:space="preserve">vor2</w:t>
            </w:r>
            <w:r>
              <w:t xml:space="preserve"> </w:t>
            </w:r>
            <w:r>
              <w:t xml:space="preserve">in summer 2025</w:t>
            </w:r>
          </w:p>
          <w:bookmarkEnd w:id="31"/>
        </w:tc>
      </w:tr>
    </w:tbl>
    <w:p>
      <w:r>
        <w:br w:type="page"/>
      </w:r>
    </w:p>
    <w:p>
      <w:pPr>
        <w:pStyle w:val="3"/>
      </w:pPr>
      <w:r>
        <w:t xml:space="preserve">Мидиевая банка</w:t>
      </w:r>
      <w:r>
        <w:t xml:space="preserve"> </w:t>
      </w:r>
      <w:r>
        <w:rPr>
          <w:i/>
          <w:iCs/>
        </w:rPr>
        <w:t xml:space="preserve">«Vor4»</w:t>
      </w:r>
      <w:r>
        <w:t xml:space="preserve"> </w:t>
      </w:r>
      <w:r>
        <w:t xml:space="preserve">(66,934386 N; 32,506852 E,</w:t>
      </w:r>
      <w:r>
        <w:t xml:space="preserve"> </w:t>
      </w:r>
      <w:hyperlink w:anchor="fig-Vor4">
        <w:r>
          <w:rPr>
            <w:rStyle w:val="14"/>
          </w:rPr>
          <w:t xml:space="preserve">Рис. 4</w:t>
        </w:r>
      </w:hyperlink>
      <w:r>
        <w:t xml:space="preserve">) Банка расположена на косе, идущей от материка на расстоянии около 500 м от входа в Воронью губу.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Vor4"/>
          <w:p>
            <w:pPr>
              <w:pStyle w:val="23"/>
              <w:jc w:val="center"/>
            </w:pPr>
            <w:r>
              <w:drawing>
                <wp:inline>
                  <wp:extent cx="5715000" cy="5877536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figures/vor4-orthophoto_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58775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4: Вид мидиевой банки</w:t>
            </w:r>
            <w:r>
              <w:t xml:space="preserve"> </w:t>
            </w:r>
            <w:r>
              <w:rPr>
                <w:i/>
                <w:iCs/>
              </w:rPr>
              <w:t xml:space="preserve">vor4</w:t>
            </w:r>
            <w:r>
              <w:t xml:space="preserve"> </w:t>
            </w:r>
            <w:r>
              <w:t xml:space="preserve">летом 2025 г. A quadrocopter view of the mussel bed</w:t>
            </w:r>
            <w:r>
              <w:t xml:space="preserve"> </w:t>
            </w:r>
            <w:r>
              <w:rPr>
                <w:i/>
                <w:iCs/>
              </w:rPr>
              <w:t xml:space="preserve">vor4</w:t>
            </w:r>
            <w:r>
              <w:t xml:space="preserve"> </w:t>
            </w:r>
            <w:r>
              <w:t xml:space="preserve">in summer 2025</w:t>
            </w:r>
          </w:p>
          <w:bookmarkEnd w:id="35"/>
        </w:tc>
      </w:tr>
    </w:tbl>
    <w:p>
      <w:r>
        <w:br w:type="page"/>
      </w:r>
    </w:p>
    <w:p>
      <w:pPr>
        <w:pStyle w:val="3"/>
      </w:pPr>
      <w:r>
        <w:t xml:space="preserve">Мидиевая банка</w:t>
      </w:r>
      <w:r>
        <w:t xml:space="preserve"> </w:t>
      </w:r>
      <w:r>
        <w:rPr>
          <w:i/>
          <w:iCs/>
        </w:rPr>
        <w:t xml:space="preserve">«Vor5»</w:t>
      </w:r>
      <w:r>
        <w:t xml:space="preserve"> </w:t>
      </w:r>
      <w:r>
        <w:t xml:space="preserve">(66,928006 N; 32,491124 E,</w:t>
      </w:r>
      <w:r>
        <w:t xml:space="preserve"> </w:t>
      </w:r>
      <w:hyperlink w:anchor="fig-Vor5">
        <w:r>
          <w:rPr>
            <w:rStyle w:val="14"/>
          </w:rPr>
          <w:t xml:space="preserve">Рис. 5</w:t>
        </w:r>
      </w:hyperlink>
      <w:r>
        <w:t xml:space="preserve">) Банка расположена в проливе, соединяющем губу Воронью и губу Белую.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Vor5"/>
          <w:p>
            <w:pPr>
              <w:pStyle w:val="23"/>
              <w:jc w:val="center"/>
            </w:pPr>
            <w:r>
              <w:drawing>
                <wp:inline>
                  <wp:extent cx="5715000" cy="4148101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figures/vor5-orthophoto_1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0" cy="4148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5: Вид мидиевой банки</w:t>
            </w:r>
            <w:r>
              <w:t xml:space="preserve"> </w:t>
            </w:r>
            <w:r>
              <w:rPr>
                <w:i/>
                <w:iCs/>
              </w:rPr>
              <w:t xml:space="preserve">vor5</w:t>
            </w:r>
            <w:r>
              <w:t xml:space="preserve"> </w:t>
            </w:r>
            <w:r>
              <w:t xml:space="preserve">летом 2025 г. A quadrocopter view of the mussel bed</w:t>
            </w:r>
            <w:r>
              <w:t xml:space="preserve"> </w:t>
            </w:r>
            <w:r>
              <w:rPr>
                <w:i/>
                <w:iCs/>
              </w:rPr>
              <w:t xml:space="preserve">vor5</w:t>
            </w:r>
            <w:r>
              <w:t xml:space="preserve"> </w:t>
            </w:r>
            <w:r>
              <w:t xml:space="preserve">in summer 2025</w:t>
            </w:r>
          </w:p>
          <w:bookmarkEnd w:id="39"/>
        </w:tc>
      </w:tr>
    </w:tbl>
    <w:p>
      <w:pPr>
        <w:pStyle w:val="3"/>
      </w:pPr>
      <w:r>
        <w:rPr>
          <w:b/>
          <w:bCs/>
        </w:rPr>
        <w:t xml:space="preserve">Визуальное описание мидиевых банок</w:t>
      </w:r>
    </w:p>
    <w:p>
      <w:pPr>
        <w:pStyle w:val="3"/>
      </w:pPr>
      <w:r>
        <w:t xml:space="preserve">При рассмотрении аэрофотоснимков мидиевых банок (</w:t>
      </w:r>
      <w:hyperlink w:anchor="fig-Korg">
        <w:r>
          <w:rPr>
            <w:rStyle w:val="14"/>
          </w:rPr>
          <w:t xml:space="preserve">Рис. 1</w:t>
        </w:r>
      </w:hyperlink>
      <w:r>
        <w:t xml:space="preserve"> </w:t>
      </w:r>
      <w:r>
        <w:t xml:space="preserve">-</w:t>
      </w:r>
      <w:r>
        <w:t xml:space="preserve"> </w:t>
      </w:r>
      <w:hyperlink w:anchor="fig-Vor5">
        <w:r>
          <w:rPr>
            <w:rStyle w:val="14"/>
          </w:rPr>
          <w:t xml:space="preserve">Рис. 5</w:t>
        </w:r>
      </w:hyperlink>
      <w:r>
        <w:t xml:space="preserve">) видно, что все они покрыты слоем нитчатых водорослей. Этот слой присутствует более или менее постоянно на всех мидиевых банках во все годы наблюдений, однако в последнее десятилетие он значительно увеличился по площади. В настоящее время нитчатки покрывают практически всю поверхность всех мидиевых банок. Сплошной ковер мидий, который ранее был представлен на каждой из них (именно его присутствие и заставило ранее выбрать эти участки как сайты мониторинга мидевых банок), сильно фрагментировался. В последние годы большинство мидий, представленных на банках, поселяются среди нитчатых водорослей.</w:t>
      </w:r>
    </w:p>
    <w:p>
      <w:pPr>
        <w:pStyle w:val="3"/>
      </w:pPr>
      <w:r>
        <w:t xml:space="preserve">На мидиевой банке</w:t>
      </w:r>
      <w:r>
        <w:t xml:space="preserve"> </w:t>
      </w:r>
      <w:r>
        <w:rPr>
          <w:i/>
          <w:iCs/>
        </w:rPr>
        <w:t xml:space="preserve">vor2</w:t>
      </w:r>
      <w:r>
        <w:t xml:space="preserve"> </w:t>
      </w:r>
      <w:r>
        <w:t xml:space="preserve">пятна мидий практически отсутствуют. Течения размыли вязкие илистые отложения, которые ранее подстилали эту мидиевую банку и имели почти метровую глубину. В настоящий момент на поверхности</w:t>
      </w:r>
      <w:r>
        <w:t xml:space="preserve"> </w:t>
      </w:r>
      <w:r>
        <w:rPr>
          <w:i/>
          <w:iCs/>
        </w:rPr>
        <w:t xml:space="preserve">vor2</w:t>
      </w:r>
      <w:r>
        <w:t xml:space="preserve"> </w:t>
      </w:r>
      <w:r>
        <w:t xml:space="preserve">видны многочисленные камни, которых раньше не было заметно. Сходная картина наблюдается на банках</w:t>
      </w:r>
      <w:r>
        <w:t xml:space="preserve"> </w:t>
      </w:r>
      <w:r>
        <w:rPr>
          <w:i/>
          <w:iCs/>
        </w:rPr>
        <w:t xml:space="preserve">korg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mat</w:t>
      </w:r>
      <w:r>
        <w:t xml:space="preserve">. Последняя некогда была покрыта сплошным слоем мидий, а нитчатые водоросли присутствовали лишь по периферии. В 2025 г. большая часть банки</w:t>
      </w:r>
      <w:r>
        <w:t xml:space="preserve"> </w:t>
      </w:r>
      <w:r>
        <w:rPr>
          <w:i/>
          <w:iCs/>
        </w:rPr>
        <w:t xml:space="preserve">mat</w:t>
      </w:r>
      <w:r>
        <w:t xml:space="preserve">, имеет вид обнаженной ракуши. Пятна мидий здесь лишь фрагментарны. Заметные пята мидий остались лишь на банке</w:t>
      </w:r>
      <w:r>
        <w:t xml:space="preserve"> </w:t>
      </w:r>
      <w:r>
        <w:rPr>
          <w:i/>
          <w:iCs/>
        </w:rPr>
        <w:t xml:space="preserve">vor5</w:t>
      </w:r>
      <w:r>
        <w:t xml:space="preserve">.</w:t>
      </w:r>
    </w:p>
    <w:p>
      <w:pPr>
        <w:pStyle w:val="3"/>
      </w:pPr>
      <w:r>
        <w:rPr>
          <w:b/>
          <w:bCs/>
        </w:rPr>
        <w:t xml:space="preserve">Размерная структура мидий летом 2025 г.</w:t>
      </w:r>
    </w:p>
    <w:p>
      <w:pPr>
        <w:pStyle w:val="3"/>
      </w:pPr>
      <w:r>
        <w:t xml:space="preserve">Исходные данные по размерной структуре мидий в 1996-2016 гг. приводятся в томе Летописи природы за 2016 г., данные за 2017 г. в Летописи природы за 2017 г. Данные, полученные в летние сезоны (июль, август) 2018-2019 гг в Летописи природы за 2019 г. Данные, полученные за 2020-2022 гг. в Летописи природы за 2022 г. Данные, полученные в 2023 гг. в Летописи природы за 2023 г. Данные, полученные в 2024 г. приведены в Летописи природы за 2024 г.</w:t>
      </w:r>
    </w:p>
    <w:p>
      <w:pPr>
        <w:pStyle w:val="3"/>
      </w:pPr>
      <w:r>
        <w:t xml:space="preserve">Численность особей разных размеров в каждой из проб, взятых на мидиевых банках в 2025 г., приводятся в</w:t>
      </w:r>
      <w:r>
        <w:t xml:space="preserve"> </w:t>
      </w:r>
      <w:hyperlink w:anchor="tbl-vor2">
        <w:r>
          <w:rPr>
            <w:rStyle w:val="14"/>
          </w:rPr>
          <w:t xml:space="preserve">Табл. 1</w:t>
        </w:r>
      </w:hyperlink>
      <w:r>
        <w:t xml:space="preserve"> </w:t>
      </w:r>
      <w:r>
        <w:t xml:space="preserve">-</w:t>
      </w:r>
      <w:r>
        <w:t xml:space="preserve"> </w:t>
      </w:r>
      <w:hyperlink w:anchor="tbl-korg">
        <w:r>
          <w:rPr>
            <w:rStyle w:val="14"/>
          </w:rPr>
          <w:t xml:space="preserve">Табл. 5</w:t>
        </w:r>
      </w:hyperlink>
      <w:r>
        <w:t xml:space="preserve">. Частотные распределения размеров на разных мидиевых банках иллюстрирует</w:t>
      </w:r>
      <w:r>
        <w:t xml:space="preserve"> </w:t>
      </w:r>
      <w:hyperlink w:anchor="fig-Size-Structure">
        <w:r>
          <w:rPr>
            <w:rStyle w:val="14"/>
          </w:rPr>
          <w:t xml:space="preserve">Рис. 6</w:t>
        </w:r>
      </w:hyperlink>
      <w:r>
        <w:t xml:space="preserve">. В этом году продолжилась тенденция, наметившаяся в прошлые годы. Если ранее на всех банках доминировали моллюски с длиной раковины 1-5 мм, то уже 2024 г. на банках</w:t>
      </w:r>
      <w:r>
        <w:t xml:space="preserve"> </w:t>
      </w:r>
      <w:r>
        <w:rPr>
          <w:i/>
          <w:iCs/>
        </w:rPr>
        <w:t xml:space="preserve">vor2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vor5</w:t>
      </w:r>
      <w:r>
        <w:t xml:space="preserve"> </w:t>
      </w:r>
      <w:r>
        <w:t xml:space="preserve">максимальная численность приходилась на размерный класс 5-10 мм. В 2025 году только на банке</w:t>
      </w:r>
      <w:r>
        <w:t xml:space="preserve"> </w:t>
      </w:r>
      <w:r>
        <w:rPr>
          <w:i/>
          <w:iCs/>
        </w:rPr>
        <w:t xml:space="preserve">mat</w:t>
      </w:r>
      <w:r>
        <w:t xml:space="preserve"> </w:t>
      </w:r>
      <w:r>
        <w:t xml:space="preserve">отмечено преобладание мидий размером 1-5 мм, на всех остальных модальное значение сместилось на размерный класс 5-10 мм. На большинстве банок (исключение составляет</w:t>
      </w:r>
      <w:r>
        <w:t xml:space="preserve"> </w:t>
      </w:r>
      <w:r>
        <w:rPr>
          <w:b/>
          <w:bCs/>
        </w:rPr>
        <w:t xml:space="preserve">vor5</w:t>
      </w:r>
      <w:r>
        <w:t xml:space="preserve">) в 2024-2025 гг наметилась тенденция к увеличению среднего размера особей (</w:t>
      </w:r>
      <w:hyperlink w:anchor="fig-Mean-Size">
        <w:r>
          <w:rPr>
            <w:rStyle w:val="14"/>
          </w:rPr>
          <w:t xml:space="preserve">Рис. 7</w:t>
        </w:r>
      </w:hyperlink>
      <w:r>
        <w:t xml:space="preserve">), хотя размеры моллюсков в последние годы, по-прежнему, меньше, чем в прошлые годы.</w:t>
      </w:r>
    </w:p>
    <w:p>
      <w:pPr>
        <w:pStyle w:val="3"/>
      </w:pPr>
      <w:r>
        <w:t xml:space="preserve">Данные, по обилию мидий на мидиевых банках, полученные в 2025 г (</w:t>
      </w:r>
      <w:hyperlink w:anchor="fig-N">
        <w:r>
          <w:rPr>
            <w:rStyle w:val="14"/>
          </w:rPr>
          <w:t xml:space="preserve">Рис. 8</w:t>
        </w:r>
      </w:hyperlink>
      <w:r>
        <w:t xml:space="preserve">) показывают, что обилие мидий на банках Лувеньгского архипелага</w:t>
      </w:r>
      <w:r>
        <w:t xml:space="preserve"> </w:t>
      </w:r>
      <w:r>
        <w:rPr>
          <w:i/>
          <w:iCs/>
        </w:rPr>
        <w:t xml:space="preserve">mat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korg</w:t>
      </w:r>
      <w:r>
        <w:t xml:space="preserve">, как и в былые годы, выше обилия мидий на баках из Вороньей губы (</w:t>
      </w:r>
      <w:r>
        <w:rPr>
          <w:i/>
          <w:iCs/>
        </w:rPr>
        <w:t xml:space="preserve">vor2</w:t>
      </w:r>
      <w:r>
        <w:t xml:space="preserve">,</w:t>
      </w:r>
      <w:r>
        <w:t xml:space="preserve"> </w:t>
      </w:r>
      <w:r>
        <w:rPr>
          <w:i/>
          <w:iCs/>
        </w:rPr>
        <w:t xml:space="preserve">vor4</w:t>
      </w:r>
      <w:r>
        <w:t xml:space="preserve">,</w:t>
      </w:r>
      <w:r>
        <w:t xml:space="preserve"> </w:t>
      </w:r>
      <w:r>
        <w:rPr>
          <w:i/>
          <w:iCs/>
        </w:rPr>
        <w:t xml:space="preserve">vor5</w:t>
      </w:r>
      <w:r>
        <w:t xml:space="preserve">). Вместе с тем, следует отметить что обилие мидий на банках</w:t>
      </w:r>
      <w:r>
        <w:t xml:space="preserve"> </w:t>
      </w:r>
      <w:r>
        <w:rPr>
          <w:i/>
          <w:iCs/>
        </w:rPr>
        <w:t xml:space="preserve">mat</w:t>
      </w:r>
      <w:r>
        <w:t xml:space="preserve"> </w:t>
      </w:r>
      <w:r>
        <w:t xml:space="preserve">и</w:t>
      </w:r>
      <w:r>
        <w:t xml:space="preserve"> </w:t>
      </w:r>
      <w:r>
        <w:rPr>
          <w:i/>
          <w:iCs/>
        </w:rPr>
        <w:t xml:space="preserve">vor2</w:t>
      </w:r>
      <w:r>
        <w:t xml:space="preserve"> </w:t>
      </w:r>
      <w:r>
        <w:t xml:space="preserve">в 2025 г. заметно снизилось по сравнению с предыдущим годом.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Size-Structure"/>
          <w:p>
            <w:pPr>
              <w:pStyle w:val="23"/>
              <w:jc w:val="center"/>
            </w:pPr>
            <w:r>
              <w:drawing>
                <wp:inline>
                  <wp:extent cx="3669832" cy="366983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Khaitov_2025_Mussel_beds_files/figure-docx/fig-Size-Structure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69832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6: Размерная структура мидий на банках летом 2025 г. Mussel’s size structure at mussel beds in 2025</w:t>
            </w:r>
          </w:p>
          <w:bookmarkEnd w:id="43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Mean-Size"/>
          <w:p>
            <w:pPr>
              <w:pStyle w:val="23"/>
              <w:jc w:val="center"/>
            </w:pPr>
            <w:r>
              <w:drawing>
                <wp:inline>
                  <wp:extent cx="4587290" cy="3669832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Khaitov_2025_Mussel_beds_files/figure-docx/fig-Mean-Size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290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7: Многолетние изменения среднего размера мидий на разных мидиевых банках. Кривая линия - сглаживающая непараметрическая функция (GAM).Long-term changes in average mussel shell length at different mussel beds. Curve line represents fitted GAM-smoother.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"/>
          <w:p>
            <w:pPr>
              <w:pStyle w:val="23"/>
              <w:jc w:val="center"/>
            </w:pPr>
            <w:r>
              <w:drawing>
                <wp:inline>
                  <wp:extent cx="5504749" cy="366983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Khaitov_2025_Mussel_beds_files/figure-docx/fig-N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04749" cy="36698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8: Плотность поселения мидий на разных мидиевых банках в 2025 г. Abundance of mussels on different mussel beds in 2024.</w:t>
            </w:r>
          </w:p>
          <w:bookmarkEnd w:id="51"/>
        </w:tc>
      </w:tr>
    </w:tbl>
    <w:p>
      <w:pPr>
        <w:pStyle w:val="3"/>
      </w:pPr>
      <w:r>
        <w:t xml:space="preserve">Данные, полученные в 2025 г. свидетельствуют о том, что тенденция постоянному увеличению обилия мидий, наметившаяся в прошлые годы (</w:t>
      </w:r>
      <w:hyperlink w:anchor="fig-N-Dynam">
        <w:r>
          <w:rPr>
            <w:rStyle w:val="14"/>
          </w:rPr>
          <w:t xml:space="preserve">Рис. 9</w:t>
        </w:r>
      </w:hyperlink>
      <w:r>
        <w:t xml:space="preserve">), сменилась тенденцией к стабилизации или даже уменьшению обилия мидий.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N-Dynam"/>
          <w:p>
            <w:pPr>
              <w:pStyle w:val="23"/>
              <w:jc w:val="center"/>
            </w:pPr>
            <w:r>
              <w:drawing>
                <wp:inline>
                  <wp:extent cx="6146800" cy="3512457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Khaitov_2025_Mussel_beds_files/figure-docx/fig-N-Dynam-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46800" cy="35124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Рисунок</w:t>
            </w:r>
            <w:r>
              <w:t xml:space="preserve"> 9: Многолетние изменения средней плотности поселения мидий на разных мидиевых банках. Кривая линия - сглаживающая непараметрическая функция (GAM).Long-term changes in average mussel abundance at different mussel beds. Curve line represents fitted GAM-smoother.</w:t>
            </w:r>
          </w:p>
          <w:bookmarkEnd w:id="55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tbl-vor2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1: Размерная структура мидий в отдельных пробах в 2025 г на мидиевой банке</w:t>
            </w:r>
            <w:r>
              <w:t xml:space="preserve"> </w:t>
            </w:r>
            <w:r>
              <w:rPr>
                <w:b/>
                <w:bCs/>
              </w:rPr>
              <w:t xml:space="preserve">Vor2</w:t>
            </w:r>
            <w:r>
              <w:t xml:space="preserve">. Size structure of mussels in samples at mussel bed in 2025 at mussel beds</w:t>
            </w:r>
            <w:r>
              <w:t xml:space="preserve"> </w:t>
            </w:r>
            <w:r>
              <w:rPr>
                <w:b/>
                <w:bCs/>
              </w:rPr>
              <w:t xml:space="preserve">Vor2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52"/>
              <w:gridCol w:w="1277"/>
              <w:gridCol w:w="589"/>
              <w:gridCol w:w="589"/>
              <w:gridCol w:w="500"/>
              <w:gridCol w:w="589"/>
              <w:gridCol w:w="589"/>
              <w:gridCol w:w="500"/>
            </w:tblGrid>
            <w:tr>
              <w:trPr>
                <w:trHeight w:val="55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Банка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Размер, мм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спат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</w:tbl>
          <w:bookmarkEnd w:id="56"/>
        </w:tc>
      </w:tr>
    </w:tbl>
    <w:p>
      <w:pPr>
        <w:pStyle w:val="3"/>
      </w:pPr>
      <w:r>
        <w:rPr>
          <w:b/>
          <w:bCs/>
        </w:rPr>
        <w:t xml:space="preserve">Примечание</w:t>
      </w:r>
      <w:r>
        <w:t xml:space="preserve"> </w:t>
      </w:r>
      <w:r>
        <w:t xml:space="preserve">Категорией</w:t>
      </w:r>
      <w:r>
        <w:t xml:space="preserve"> </w:t>
      </w:r>
      <w:r>
        <w:rPr>
          <w:i/>
          <w:iCs/>
        </w:rPr>
        <w:t xml:space="preserve">Спат</w:t>
      </w:r>
      <w:r>
        <w:t xml:space="preserve"> </w:t>
      </w:r>
      <w:r>
        <w:t xml:space="preserve">обозначаются мидии с длиной раковины меньше 1 мм. При анализе динамики размерной структуры и обилия моллюски этой категории не учитываются.</w:t>
      </w:r>
    </w:p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tbl-vor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2: Размерная структура мидий в отдельных пробах в 2025 г на мидиевой банке</w:t>
            </w:r>
            <w:r>
              <w:t xml:space="preserve"> </w:t>
            </w:r>
            <w:r>
              <w:rPr>
                <w:b/>
                <w:bCs/>
              </w:rPr>
              <w:t xml:space="preserve">Vor4</w:t>
            </w:r>
            <w:r>
              <w:t xml:space="preserve">. Size structure of mussels in samples at mussel bed in 2025 at mussel beds</w:t>
            </w:r>
            <w:r>
              <w:t xml:space="preserve"> </w:t>
            </w:r>
            <w:r>
              <w:rPr>
                <w:b/>
                <w:bCs/>
              </w:rPr>
              <w:t xml:space="preserve">Vor4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52"/>
              <w:gridCol w:w="1277"/>
              <w:gridCol w:w="589"/>
              <w:gridCol w:w="589"/>
              <w:gridCol w:w="678"/>
              <w:gridCol w:w="589"/>
              <w:gridCol w:w="589"/>
              <w:gridCol w:w="589"/>
            </w:tblGrid>
            <w:tr>
              <w:trPr>
                <w:trHeight w:val="55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Банка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Размер, мм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спат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</w:tbl>
          <w:bookmarkEnd w:id="57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vor5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3: Размерная структура мидий в отдельных пробах в 2025 г на мидиевой банке</w:t>
            </w:r>
            <w:r>
              <w:t xml:space="preserve"> </w:t>
            </w:r>
            <w:r>
              <w:rPr>
                <w:b/>
                <w:bCs/>
              </w:rPr>
              <w:t xml:space="preserve">Vor5</w:t>
            </w:r>
            <w:r>
              <w:t xml:space="preserve">. Size structure of mussels in samples at mussel bed in 2025 at mussel beds</w:t>
            </w:r>
            <w:r>
              <w:t xml:space="preserve"> </w:t>
            </w:r>
            <w:r>
              <w:rPr>
                <w:b/>
                <w:bCs/>
              </w:rPr>
              <w:t xml:space="preserve">Vor5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52"/>
              <w:gridCol w:w="1277"/>
              <w:gridCol w:w="500"/>
              <w:gridCol w:w="589"/>
              <w:gridCol w:w="589"/>
              <w:gridCol w:w="589"/>
              <w:gridCol w:w="589"/>
              <w:gridCol w:w="589"/>
            </w:tblGrid>
            <w:tr>
              <w:trPr>
                <w:trHeight w:val="55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Банка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Размер, мм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6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6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vor5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спат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</w:tbl>
          <w:bookmarkEnd w:id="58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tbl-m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4: Размерная структура мидий в отдельных пробах в 2025 г на мидиевой банке</w:t>
            </w:r>
            <w:r>
              <w:t xml:space="preserve"> </w:t>
            </w:r>
            <w:r>
              <w:rPr>
                <w:b/>
                <w:bCs/>
              </w:rPr>
              <w:t xml:space="preserve">mat</w:t>
            </w:r>
            <w:r>
              <w:t xml:space="preserve">. Size structure of mussels in samples at mussel bed in 2025 at mussel beds</w:t>
            </w:r>
            <w:r>
              <w:t xml:space="preserve"> </w:t>
            </w:r>
            <w:r>
              <w:rPr>
                <w:b/>
                <w:bCs/>
              </w:rPr>
              <w:t xml:space="preserve">mat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52"/>
              <w:gridCol w:w="1277"/>
              <w:gridCol w:w="589"/>
              <w:gridCol w:w="589"/>
              <w:gridCol w:w="589"/>
              <w:gridCol w:w="589"/>
              <w:gridCol w:w="589"/>
              <w:gridCol w:w="589"/>
            </w:tblGrid>
            <w:tr>
              <w:trPr>
                <w:trHeight w:val="55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Банка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Размер, мм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26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28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mat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спат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</w:tbl>
          <w:bookmarkEnd w:id="59"/>
        </w:tc>
      </w:tr>
    </w:tbl>
    <w:p>
      <w:r>
        <w:br w:type="page"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tbl-kor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rPr>
                <w:b/>
                <w:bCs/>
              </w:rPr>
              <w:t xml:space="preserve">Таблица</w:t>
            </w:r>
            <w:r>
              <w:t xml:space="preserve"> 5: Размерная структура мидий в отдельных пробах в 2025 г на мидиевой банке</w:t>
            </w:r>
            <w:r>
              <w:t xml:space="preserve"> </w:t>
            </w:r>
            <w:r>
              <w:rPr>
                <w:b/>
                <w:bCs/>
              </w:rPr>
              <w:t xml:space="preserve">korg</w:t>
            </w:r>
            <w:r>
              <w:t xml:space="preserve">. Size structure of mussels in samples at mussel bed in 2025 at mussel beds</w:t>
            </w:r>
            <w:r>
              <w:t xml:space="preserve"> </w:t>
            </w:r>
            <w:r>
              <w:rPr>
                <w:b/>
                <w:bCs/>
              </w:rPr>
              <w:t xml:space="preserve">korg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fixed"/>
              <w:jc w:val="center"/>
              <w:tblLook w:firstRow="1" w:lastRow="0" w:firstColumn="0" w:lastColumn="0" w:noHBand="0" w:noVBand="1"/>
            </w:tblPr>
            <w:tblGrid>
              <w:gridCol w:w="852"/>
              <w:gridCol w:w="1277"/>
              <w:gridCol w:w="678"/>
              <w:gridCol w:w="678"/>
              <w:gridCol w:w="678"/>
              <w:gridCol w:w="678"/>
              <w:gridCol w:w="500"/>
              <w:gridCol w:w="589"/>
            </w:tblGrid>
            <w:tr>
              <w:trPr>
                <w:trHeight w:val="557" w:hRule="auto"/>
                <w:tblHeader/>
              </w:trPr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Банка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Размер, мм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13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14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7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25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26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33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37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38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559" w:hRule="auto"/>
              </w:trPr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none" w:sz="0" w:space="0" w:color="000000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korg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спат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44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31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single" w:sz="8" w:space="0" w:color="BEBEBE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single" w:sz="12" w:space="0" w:color="666666"/>
                    <w:top w:val="single" w:sz="8" w:space="0" w:color="BEBEBE"/>
                    <w:left w:val="single" w:sz="8" w:space="0" w:color="BEBEBE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100" w:before="10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16"/>
                      <w:szCs w:val="16"/>
                      <w:color w:val="000000"/>
                    </w:rPr>
                    <w:t xml:space="preserve">0</w:t>
                  </w:r>
                </w:p>
              </w:tc>
            </w:tr>
          </w:tbl>
          <w:bookmarkEnd w:id="60"/>
        </w:tc>
      </w:tr>
    </w:tbl>
    <w:sectPr>
      <w:pgSz w:h="15840" w:w="12240"/>
      <w:pgMar w:bottom="1134" w:footer="720" w:gutter="0" w:header="720" w:left="1701" w:right="850" w:top="1134"/>
      <w:cols w:num="1"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B778B92"/>
    <w:multiLevelType w:val="singleLevel"/>
    <w:tmpl w:val="0B778B92"/>
    <w:lvl w:ilvl="0" w:tentative="0">
      <w:start w:val="1"/>
      <w:numFmt w:val="decimal"/>
      <w:suff w:val="space"/>
      <w:lvlText w:val="%1."/>
      <w:lvlJc w:val="left"/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2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0D07"/>
    <w:rsid w:val="00011C8B"/>
    <w:rsid w:val="00186FB1"/>
    <w:rsid w:val="00212C7B"/>
    <w:rsid w:val="00261E80"/>
    <w:rsid w:val="00454FDB"/>
    <w:rsid w:val="004B3AA3"/>
    <w:rsid w:val="004E29B3"/>
    <w:rsid w:val="00504A3C"/>
    <w:rsid w:val="0055521A"/>
    <w:rsid w:val="00590D07"/>
    <w:rsid w:val="00641B16"/>
    <w:rsid w:val="00741042"/>
    <w:rsid w:val="00784D58"/>
    <w:rsid w:val="008D6863"/>
    <w:rsid w:val="009B25AA"/>
    <w:rsid w:val="009C69EA"/>
    <w:rsid w:val="00B86B75"/>
    <w:rsid w:val="00BA7AFD"/>
    <w:rsid w:val="00BC48D5"/>
    <w:rsid w:val="00BD4F03"/>
    <w:rsid w:val="00C36279"/>
    <w:rsid w:val="00D1671F"/>
    <w:rsid w:val="00D24070"/>
    <w:rsid w:val="00DE0ED3"/>
    <w:rsid w:val="00E315A3"/>
    <w:rsid w:val="00EA5C88"/>
    <w:rsid w:val="00F053D6"/>
    <w:rsid w:val="0ED03E67"/>
    <w:rsid w:val="3129592A"/>
    <w:rsid w:val="49A9077F"/>
    <w:rsid w:val="507A1EFE"/>
    <w:rsid w:val="59A53F80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HAnsi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semiHidden="0" w:uiPriority="0" w:unhideWhenUsed="0"/>
    <w:lsdException w:name="heading 8" w:semiHidden="0" w:uiPriority="0" w:unhideWhenUsed="0"/>
    <w:lsdException w:name="heading 9" w:semiHidden="0" w:uiPriority="0" w:unhideWhenUsed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qFormat="1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uiPriority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semiHidden="0" w:uiPriority="0" w:unhideWhenUsed="0"/>
    <w:lsdException w:name="Balloon Text" w:uiPriority="0"/>
    <w:lsdException w:name="Table Grid" w:semiHidden="0" w:uiPriority="0" w:unhideWhenUsed="0"/>
    <w:lsdException w:name="Table Theme" w:semiHidden="0" w:uiPriority="0" w:unhideWhenUsed="0"/>
  </w:latentStyles>
  <w:style w:default="1" w:styleId="1" w:type="paragraph">
    <w:name w:val="Normal"/>
    <w:qFormat/>
    <w:uiPriority w:val="0"/>
    <w:pPr>
      <w:spacing w:after="200"/>
      <w:jc w:val="both"/>
    </w:pPr>
    <w:rPr>
      <w:rFonts w:asciiTheme="minorAscii" w:cstheme="minorBidi" w:eastAsiaTheme="minorEastAsia" w:hAnsiTheme="minorAscii"/>
      <w:sz w:val="20"/>
      <w:szCs w:val="24"/>
      <w:lang w:bidi="ar-SA" w:eastAsia="en-US" w:val="en-US"/>
    </w:rPr>
  </w:style>
  <w:style w:styleId="2" w:type="paragraph">
    <w:name w:val="heading 1"/>
    <w:basedOn w:val="1"/>
    <w:next w:val="3"/>
    <w:qFormat/>
    <w:uiPriority w:val="9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B8A"/>
      <w:sz w:val="32"/>
      <w:szCs w:val="32"/>
    </w:rPr>
  </w:style>
  <w:style w:styleId="4" w:type="paragraph">
    <w:name w:val="heading 2"/>
    <w:basedOn w:val="1"/>
    <w:next w:val="3"/>
    <w:unhideWhenUsed/>
    <w:qFormat/>
    <w:uiPriority w:val="9"/>
    <w:pPr>
      <w:keepNext/>
      <w:keepLines/>
      <w:spacing w:after="0" w:before="200"/>
      <w:jc w:val="center"/>
      <w:outlineLvl w:val="1"/>
    </w:pPr>
    <w:rPr>
      <w:rFonts w:ascii="Times New Roman" w:cstheme="majorBidi" w:eastAsiaTheme="majorEastAsia" w:hAnsi="Times New Roman"/>
      <w:b/>
      <w:bCs/>
      <w:color w:themeColor="text1" w:val="000000"/>
      <w:szCs w:val="32"/>
      <w14:textFill>
        <w14:solidFill>
          <w14:schemeClr w14:val="tx1"/>
        </w14:solidFill>
      </w14:textFill>
    </w:rPr>
  </w:style>
  <w:style w:styleId="5" w:type="paragraph">
    <w:name w:val="heading 3"/>
    <w:basedOn w:val="1"/>
    <w:next w:val="3"/>
    <w:unhideWhenUsed/>
    <w:qFormat/>
    <w:uiPriority w:val="9"/>
    <w:pPr>
      <w:keepNext/>
      <w:keepLines/>
      <w:spacing w:after="0" w:before="200"/>
      <w:jc w:val="center"/>
      <w:outlineLvl w:val="2"/>
    </w:pPr>
    <w:rPr>
      <w:rFonts w:ascii="Times New Roman" w:cstheme="majorBidi" w:eastAsiaTheme="majorEastAsia" w:hAnsi="Times New Roman"/>
      <w:b/>
      <w:bCs/>
      <w:i/>
      <w:color w:themeColor="text1" w:val="000000"/>
      <w:szCs w:val="28"/>
      <w14:textFill>
        <w14:solidFill>
          <w14:schemeClr w14:val="tx1"/>
        </w14:solidFill>
      </w14:textFill>
    </w:rPr>
  </w:style>
  <w:style w:styleId="6" w:type="paragraph">
    <w:name w:val="heading 4"/>
    <w:basedOn w:val="1"/>
    <w:next w:val="3"/>
    <w:unhideWhenUsed/>
    <w:qFormat/>
    <w:uiPriority w:val="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color w:themeColor="accent1" w:val="4F81BD"/>
      <w14:textFill>
        <w14:solidFill>
          <w14:schemeClr w14:val="accent1"/>
        </w14:solidFill>
      </w14:textFill>
    </w:rPr>
  </w:style>
  <w:style w:styleId="7" w:type="paragraph">
    <w:name w:val="heading 5"/>
    <w:basedOn w:val="1"/>
    <w:next w:val="3"/>
    <w:unhideWhenUsed/>
    <w:qFormat/>
    <w:uiPriority w:val="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/>
      <w:iCs/>
      <w:color w:themeColor="accent1" w:val="4F81BD"/>
      <w14:textFill>
        <w14:solidFill>
          <w14:schemeClr w14:val="accent1"/>
        </w14:solidFill>
      </w14:textFill>
    </w:rPr>
  </w:style>
  <w:style w:styleId="8" w:type="paragraph">
    <w:name w:val="heading 6"/>
    <w:basedOn w:val="1"/>
    <w:next w:val="3"/>
    <w:unhideWhenUsed/>
    <w:qFormat/>
    <w:uiPriority w:val="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9" w:type="character">
    <w:name w:val="Default Paragraph Font"/>
    <w:semiHidden/>
    <w:unhideWhenUsed/>
    <w:qFormat/>
    <w:uiPriority w:val="1"/>
  </w:style>
  <w:style w:default="1" w:styleId="10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1"/>
    <w:link w:val="66"/>
    <w:qFormat/>
    <w:uiPriority w:val="0"/>
    <w:pPr>
      <w:spacing w:after="180" w:before="180"/>
      <w:ind w:firstLine="720"/>
      <w:jc w:val="both"/>
    </w:pPr>
    <w:rPr>
      <w:rFonts w:ascii="Times New Roman" w:cs="Times New Roman" w:hAnsi="Times New Roman"/>
      <w:sz w:val="20"/>
      <w:szCs w:val="20"/>
      <w:lang w:val="ru-RU"/>
    </w:rPr>
  </w:style>
  <w:style w:styleId="11" w:type="character">
    <w:name w:val="footnote reference"/>
    <w:basedOn w:val="12"/>
    <w:qFormat/>
    <w:uiPriority w:val="0"/>
    <w:rPr>
      <w:vertAlign w:val="superscript"/>
    </w:rPr>
  </w:style>
  <w:style w:customStyle="1" w:styleId="12" w:type="character">
    <w:name w:val="Название объекта Знак"/>
    <w:basedOn w:val="9"/>
    <w:link w:val="13"/>
    <w:qFormat/>
    <w:uiPriority w:val="0"/>
  </w:style>
  <w:style w:styleId="13" w:type="paragraph">
    <w:name w:val="caption"/>
    <w:basedOn w:val="1"/>
    <w:next w:val="1"/>
    <w:link w:val="12"/>
    <w:qFormat/>
    <w:uiPriority w:val="0"/>
    <w:pPr>
      <w:spacing w:after="120"/>
    </w:pPr>
    <w:rPr>
      <w:i/>
    </w:rPr>
  </w:style>
  <w:style w:styleId="14" w:type="character">
    <w:name w:val="Hyperlink"/>
    <w:basedOn w:val="12"/>
    <w:qFormat/>
    <w:uiPriority w:val="0"/>
    <w:rPr>
      <w:color w:themeColor="accent1" w:val="4F81BD"/>
      <w14:textFill>
        <w14:solidFill>
          <w14:schemeClr w14:val="accent1"/>
        </w14:solidFill>
      </w14:textFill>
    </w:rPr>
  </w:style>
  <w:style w:styleId="15" w:type="paragraph">
    <w:name w:val="footnote text"/>
    <w:basedOn w:val="1"/>
    <w:unhideWhenUsed/>
    <w:qFormat/>
    <w:uiPriority w:val="9"/>
  </w:style>
  <w:style w:styleId="16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sz w:val="24"/>
      <w:szCs w:val="24"/>
      <w:lang w:bidi="ar-SA" w:eastAsia="en-US" w:val="en-US"/>
    </w:rPr>
  </w:style>
  <w:style w:styleId="17" w:type="paragraph">
    <w:name w:val="Title"/>
    <w:basedOn w:val="4"/>
    <w:next w:val="3"/>
    <w:qFormat/>
    <w:uiPriority w:val="0"/>
    <w:rPr>
      <w:rFonts w:cs="Times New Roman"/>
      <w:caps/>
      <w:color w:val="auto"/>
      <w:sz w:val="20"/>
      <w:szCs w:val="20"/>
      <w:lang w:val="ru-RU"/>
    </w:rPr>
  </w:style>
  <w:style w:styleId="18" w:type="paragraph">
    <w:name w:val="Subtitle"/>
    <w:basedOn w:val="17"/>
    <w:next w:val="3"/>
    <w:qFormat/>
    <w:uiPriority w:val="0"/>
    <w:pPr>
      <w:spacing w:after="240" w:before="240"/>
    </w:pPr>
    <w:rPr>
      <w:sz w:val="30"/>
      <w:szCs w:val="30"/>
    </w:rPr>
  </w:style>
  <w:style w:styleId="19" w:type="paragraph">
    <w:name w:val="Block Text"/>
    <w:basedOn w:val="3"/>
    <w:next w:val="3"/>
    <w:unhideWhenUsed/>
    <w:qFormat/>
    <w:uiPriority w:val="9"/>
    <w:pPr>
      <w:spacing w:after="100" w:before="100"/>
      <w:ind w:firstLine="0"/>
    </w:pPr>
    <w:rPr>
      <w:rFonts w:asciiTheme="majorHAnsi" w:cstheme="majorBidi" w:eastAsiaTheme="majorEastAsia" w:hAnsiTheme="majorHAnsi"/>
      <w:bCs/>
    </w:rPr>
  </w:style>
  <w:style w:customStyle="1" w:styleId="20" w:type="paragraph">
    <w:name w:val="Image Caption"/>
    <w:basedOn w:val="13"/>
    <w:autoRedefine/>
    <w:qFormat/>
    <w:uiPriority w:val="0"/>
    <w:rPr>
      <w:rFonts w:ascii="Times New Roman" w:hAnsi="Times New Roman"/>
      <w:sz w:val="20"/>
    </w:rPr>
  </w:style>
  <w:style w:customStyle="1" w:styleId="21" w:type="paragraph">
    <w:name w:val="Table"/>
    <w:basedOn w:val="1"/>
    <w:next w:val="1"/>
    <w:qFormat/>
    <w:uiPriority w:val="0"/>
    <w:pPr>
      <w:spacing w:after="36" w:before="36"/>
    </w:pPr>
    <w:rPr>
      <w:rFonts w:ascii="Times New Roman" w:cs="Times New Roman" w:eastAsiaTheme="minorEastAsia" w:hAnsi="Times New Roman"/>
      <w:sz w:val="16"/>
      <w:szCs w:val="16"/>
      <w:lang w:val="ru-RU"/>
    </w:rPr>
  </w:style>
  <w:style w:customStyle="1" w:styleId="22" w:type="paragraph">
    <w:name w:val="First Paragraph"/>
    <w:basedOn w:val="3"/>
    <w:next w:val="3"/>
    <w:qFormat/>
    <w:uiPriority w:val="0"/>
  </w:style>
  <w:style w:customStyle="1" w:styleId="23" w:type="paragraph">
    <w:name w:val="Compact"/>
    <w:basedOn w:val="3"/>
    <w:qFormat/>
    <w:uiPriority w:val="0"/>
    <w:pPr>
      <w:spacing w:after="36" w:before="36"/>
      <w:ind w:firstLine="0"/>
      <w:jc w:val="left"/>
    </w:pPr>
    <w:rPr>
      <w:sz w:val="16"/>
      <w:szCs w:val="16"/>
    </w:rPr>
  </w:style>
  <w:style w:customStyle="1" w:styleId="24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HAnsi" w:hAnsiTheme="minorHAnsi"/>
      <w:lang w:bidi="ar-SA" w:eastAsia="en-US" w:val="ru-RU"/>
    </w:rPr>
  </w:style>
  <w:style w:customStyle="1" w:styleId="25" w:type="paragraph">
    <w:name w:val="Abstract"/>
    <w:basedOn w:val="3"/>
    <w:next w:val="3"/>
    <w:autoRedefine/>
    <w:qFormat/>
    <w:uiPriority w:val="0"/>
    <w:rPr>
      <w:sz w:val="16"/>
      <w:szCs w:val="16"/>
    </w:rPr>
  </w:style>
  <w:style w:customStyle="1" w:styleId="26" w:type="paragraph">
    <w:name w:val="Список литературы1"/>
    <w:basedOn w:val="1"/>
    <w:qFormat/>
    <w:uiPriority w:val="0"/>
  </w:style>
  <w:style w:customStyle="1" w:styleId="27" w:type="paragraph">
    <w:name w:val="Definition Term"/>
    <w:basedOn w:val="1"/>
    <w:next w:val="28"/>
    <w:qFormat/>
    <w:uiPriority w:val="0"/>
    <w:pPr>
      <w:keepNext/>
      <w:keepLines/>
      <w:spacing w:after="0"/>
    </w:pPr>
    <w:rPr>
      <w:b/>
    </w:rPr>
  </w:style>
  <w:style w:customStyle="1" w:styleId="28" w:type="paragraph">
    <w:name w:val="Definition"/>
    <w:basedOn w:val="1"/>
    <w:qFormat/>
    <w:uiPriority w:val="0"/>
  </w:style>
  <w:style w:customStyle="1" w:styleId="29" w:type="paragraph">
    <w:name w:val="Table Caption"/>
    <w:basedOn w:val="13"/>
    <w:autoRedefine/>
    <w:qFormat/>
    <w:uiPriority w:val="0"/>
    <w:pPr>
      <w:keepNext/>
      <w:jc w:val="center"/>
    </w:pPr>
    <w:rPr>
      <w:rFonts w:ascii="Times New Roman" w:hAnsi="Times New Roman"/>
      <w:sz w:val="20"/>
    </w:rPr>
  </w:style>
  <w:style w:customStyle="1" w:styleId="30" w:type="paragraph">
    <w:name w:val="Figure"/>
    <w:basedOn w:val="1"/>
    <w:qFormat/>
    <w:uiPriority w:val="0"/>
  </w:style>
  <w:style w:customStyle="1" w:styleId="31" w:type="paragraph">
    <w:name w:val="Figure with Caption"/>
    <w:basedOn w:val="30"/>
    <w:qFormat/>
    <w:uiPriority w:val="0"/>
    <w:pPr>
      <w:keepNext/>
    </w:pPr>
  </w:style>
  <w:style w:customStyle="1" w:styleId="32" w:type="character">
    <w:name w:val="Verbatim Char"/>
    <w:basedOn w:val="12"/>
    <w:link w:val="33"/>
    <w:qFormat/>
    <w:uiPriority w:val="0"/>
    <w:rPr>
      <w:rFonts w:ascii="Consolas" w:hAnsi="Consolas"/>
      <w:sz w:val="22"/>
    </w:rPr>
  </w:style>
  <w:style w:customStyle="1" w:styleId="33" w:type="paragraph">
    <w:name w:val="Source Code"/>
    <w:basedOn w:val="1"/>
    <w:link w:val="32"/>
    <w:qFormat/>
    <w:uiPriority w:val="0"/>
    <w:pPr>
      <w:shd w:color="auto" w:fill="F8F8F8" w:val="clear"/>
      <w:wordWrap w:val="0"/>
    </w:pPr>
  </w:style>
  <w:style w:customStyle="1" w:styleId="34" w:type="paragraph">
    <w:name w:val="Заголовок оглавления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35" w:type="character">
    <w:name w:val="KeywordTok"/>
    <w:basedOn w:val="32"/>
    <w:qFormat/>
    <w:uiPriority w:val="0"/>
    <w:rPr>
      <w:rFonts w:ascii="Consolas" w:hAnsi="Consolas"/>
      <w:b/>
      <w:color w:val="204A87"/>
      <w:sz w:val="22"/>
      <w:shd w:color="auto" w:fill="F8F8F8" w:val="clear"/>
    </w:rPr>
  </w:style>
  <w:style w:customStyle="1" w:styleId="36" w:type="character">
    <w:name w:val="DataTypeTok"/>
    <w:basedOn w:val="32"/>
    <w:qFormat/>
    <w:uiPriority w:val="0"/>
    <w:rPr>
      <w:rFonts w:ascii="Consolas" w:hAnsi="Consolas"/>
      <w:color w:val="204A87"/>
      <w:sz w:val="22"/>
      <w:shd w:color="auto" w:fill="F8F8F8" w:val="clear"/>
    </w:rPr>
  </w:style>
  <w:style w:customStyle="1" w:styleId="37" w:type="character">
    <w:name w:val="DecVal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38" w:type="character">
    <w:name w:val="BaseN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39" w:type="character">
    <w:name w:val="FloatTok"/>
    <w:basedOn w:val="32"/>
    <w:qFormat/>
    <w:uiPriority w:val="0"/>
    <w:rPr>
      <w:rFonts w:ascii="Consolas" w:hAnsi="Consolas"/>
      <w:color w:val="0000CF"/>
      <w:sz w:val="22"/>
      <w:shd w:color="auto" w:fill="F8F8F8" w:val="clear"/>
    </w:rPr>
  </w:style>
  <w:style w:customStyle="1" w:styleId="40" w:type="character">
    <w:name w:val="Constant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41" w:type="character">
    <w:name w:val="Char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2" w:type="character">
    <w:name w:val="SpecialChar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43" w:type="character">
    <w:name w:val="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4" w:type="character">
    <w:name w:val="Verbatim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5" w:type="character">
    <w:name w:val="SpecialStringTok"/>
    <w:basedOn w:val="32"/>
    <w:qFormat/>
    <w:uiPriority w:val="0"/>
    <w:rPr>
      <w:rFonts w:ascii="Consolas" w:hAnsi="Consolas"/>
      <w:color w:val="4E9A06"/>
      <w:sz w:val="22"/>
      <w:shd w:color="auto" w:fill="F8F8F8" w:val="clear"/>
    </w:rPr>
  </w:style>
  <w:style w:customStyle="1" w:styleId="46" w:type="character">
    <w:name w:val="Import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47" w:type="character">
    <w:name w:val="CommentTok"/>
    <w:basedOn w:val="32"/>
    <w:qFormat/>
    <w:uiPriority w:val="0"/>
    <w:rPr>
      <w:rFonts w:ascii="Consolas" w:hAnsi="Consolas"/>
      <w:i/>
      <w:color w:val="8F5902"/>
      <w:sz w:val="22"/>
      <w:shd w:color="auto" w:fill="F8F8F8" w:val="clear"/>
    </w:rPr>
  </w:style>
  <w:style w:customStyle="1" w:styleId="48" w:type="character">
    <w:name w:val="Document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49" w:type="character">
    <w:name w:val="Annot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50" w:type="character">
    <w:name w:val="CommentVar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51" w:type="character">
    <w:name w:val="OtherTok"/>
    <w:basedOn w:val="32"/>
    <w:qFormat/>
    <w:uiPriority w:val="0"/>
    <w:rPr>
      <w:rFonts w:ascii="Consolas" w:hAnsi="Consolas"/>
      <w:color w:val="8F5902"/>
      <w:sz w:val="22"/>
      <w:shd w:color="auto" w:fill="F8F8F8" w:val="clear"/>
    </w:rPr>
  </w:style>
  <w:style w:customStyle="1" w:styleId="52" w:type="character">
    <w:name w:val="Function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53" w:type="character">
    <w:name w:val="VariableTok"/>
    <w:basedOn w:val="32"/>
    <w:qFormat/>
    <w:uiPriority w:val="0"/>
    <w:rPr>
      <w:rFonts w:ascii="Consolas" w:hAnsi="Consolas"/>
      <w:color w:val="000000"/>
      <w:sz w:val="22"/>
      <w:shd w:color="auto" w:fill="F8F8F8" w:val="clear"/>
    </w:rPr>
  </w:style>
  <w:style w:customStyle="1" w:styleId="54" w:type="character">
    <w:name w:val="ControlFlowTok"/>
    <w:basedOn w:val="32"/>
    <w:qFormat/>
    <w:uiPriority w:val="0"/>
    <w:rPr>
      <w:rFonts w:ascii="Consolas" w:hAnsi="Consolas"/>
      <w:b/>
      <w:color w:val="204A87"/>
      <w:sz w:val="22"/>
      <w:shd w:color="auto" w:fill="F8F8F8" w:val="clear"/>
    </w:rPr>
  </w:style>
  <w:style w:customStyle="1" w:styleId="55" w:type="character">
    <w:name w:val="OperatorTok"/>
    <w:basedOn w:val="32"/>
    <w:qFormat/>
    <w:uiPriority w:val="0"/>
    <w:rPr>
      <w:rFonts w:ascii="Consolas" w:hAnsi="Consolas"/>
      <w:b/>
      <w:color w:val="CE5C00"/>
      <w:sz w:val="22"/>
      <w:shd w:color="auto" w:fill="F8F8F8" w:val="clear"/>
    </w:rPr>
  </w:style>
  <w:style w:customStyle="1" w:styleId="56" w:type="character">
    <w:name w:val="BuiltIn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57" w:type="character">
    <w:name w:val="Extension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58" w:type="character">
    <w:name w:val="PreprocessorTok"/>
    <w:basedOn w:val="32"/>
    <w:qFormat/>
    <w:uiPriority w:val="0"/>
    <w:rPr>
      <w:rFonts w:ascii="Consolas" w:hAnsi="Consolas"/>
      <w:i/>
      <w:color w:val="8F5902"/>
      <w:sz w:val="22"/>
      <w:shd w:color="auto" w:fill="F8F8F8" w:val="clear"/>
    </w:rPr>
  </w:style>
  <w:style w:customStyle="1" w:styleId="59" w:type="character">
    <w:name w:val="AttributeTok"/>
    <w:basedOn w:val="32"/>
    <w:qFormat/>
    <w:uiPriority w:val="0"/>
    <w:rPr>
      <w:rFonts w:ascii="Consolas" w:hAnsi="Consolas"/>
      <w:color w:val="C4A000"/>
      <w:sz w:val="22"/>
      <w:shd w:color="auto" w:fill="F8F8F8" w:val="clear"/>
    </w:rPr>
  </w:style>
  <w:style w:customStyle="1" w:styleId="60" w:type="character">
    <w:name w:val="RegionMarker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61" w:type="character">
    <w:name w:val="Information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62" w:type="character">
    <w:name w:val="WarningTok"/>
    <w:basedOn w:val="32"/>
    <w:qFormat/>
    <w:uiPriority w:val="0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63" w:type="character">
    <w:name w:val="AlertTok"/>
    <w:basedOn w:val="32"/>
    <w:qFormat/>
    <w:uiPriority w:val="0"/>
    <w:rPr>
      <w:rFonts w:ascii="Consolas" w:hAnsi="Consolas"/>
      <w:color w:val="EF2929"/>
      <w:sz w:val="22"/>
      <w:shd w:color="auto" w:fill="F8F8F8" w:val="clear"/>
    </w:rPr>
  </w:style>
  <w:style w:customStyle="1" w:styleId="64" w:type="character">
    <w:name w:val="ErrorTok"/>
    <w:basedOn w:val="32"/>
    <w:qFormat/>
    <w:uiPriority w:val="0"/>
    <w:rPr>
      <w:rFonts w:ascii="Consolas" w:hAnsi="Consolas"/>
      <w:b/>
      <w:color w:val="A40000"/>
      <w:sz w:val="22"/>
      <w:shd w:color="auto" w:fill="F8F8F8" w:val="clear"/>
    </w:rPr>
  </w:style>
  <w:style w:customStyle="1" w:styleId="65" w:type="character">
    <w:name w:val="NormalTok"/>
    <w:basedOn w:val="32"/>
    <w:qFormat/>
    <w:uiPriority w:val="0"/>
    <w:rPr>
      <w:rFonts w:ascii="Consolas" w:hAnsi="Consolas"/>
      <w:sz w:val="22"/>
      <w:shd w:color="auto" w:fill="F8F8F8" w:val="clear"/>
    </w:rPr>
  </w:style>
  <w:style w:customStyle="1" w:styleId="66" w:type="character">
    <w:name w:val="Основной текст Знак"/>
    <w:basedOn w:val="9"/>
    <w:link w:val="3"/>
    <w:qFormat/>
    <w:uiPriority w:val="0"/>
    <w:rPr>
      <w:rFonts w:ascii="Times New Roman" w:cs="Times New Roman" w:hAnsi="Times New Roman"/>
      <w:lang w:eastAsia="en-US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40" Target="media/rId40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422</Words>
  <Characters>2406</Characters>
  <Lines>20</Lines>
  <Paragraphs>5</Paragraphs>
  <TotalTime>32</TotalTime>
  <ScaleCrop>false</ScaleCrop>
  <LinksUpToDate>false</LinksUpToDate>
  <CharactersWithSpaces>2823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Размерная структура мидиевых банок летом 2025 года</dc:title>
  <dc:creator>В. М. Хайтов</dc:creator>
  <cp:keywords/>
  <dcterms:created xsi:type="dcterms:W3CDTF">2026-03-25T11:30:02Z</dcterms:created>
  <dcterms:modified xsi:type="dcterms:W3CDTF">2026-03-25T11:30:02Z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