
<file path=[Content_Types].xml><?xml version="1.0" encoding="utf-8"?>
<Types xmlns="http://schemas.openxmlformats.org/package/2006/content-types">
  <Default Extension="xml" ContentType="application/xml"/>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BE67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УДК: 551.89</w:t>
      </w:r>
    </w:p>
    <w:p w14:paraId="24B0A28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Соотношение флювиогляциальных и морских образований позднеледниковья </w:t>
      </w:r>
      <w:r>
        <w:rPr>
          <w:rFonts w:ascii="Times New Roman" w:hAnsi="Times New Roman" w:cs="Times New Roman"/>
          <w:b/>
          <w:sz w:val="24"/>
          <w:szCs w:val="24"/>
        </w:rPr>
        <w:t xml:space="preserve">–раннего </w:t>
      </w:r>
      <w:r>
        <w:rPr>
          <w:rFonts w:ascii="Times New Roman" w:hAnsi="Times New Roman" w:cs="Times New Roman"/>
          <w:b/>
          <w:bCs/>
          <w:sz w:val="24"/>
          <w:szCs w:val="24"/>
        </w:rPr>
        <w:t>голоцена Кандалакшского берега Белого моря</w:t>
      </w:r>
    </w:p>
    <w:p w14:paraId="0B0270A3">
      <w:pPr>
        <w:spacing w:after="0" w:line="240" w:lineRule="auto"/>
        <w:jc w:val="center"/>
        <w:rPr>
          <w:rFonts w:ascii="Times New Roman" w:hAnsi="Times New Roman" w:cs="Times New Roman"/>
          <w:b/>
          <w:bCs/>
          <w:sz w:val="24"/>
          <w:szCs w:val="24"/>
        </w:rPr>
      </w:pPr>
    </w:p>
    <w:p w14:paraId="6A54CFD9">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Н.Е. Зарецкая</w:t>
      </w:r>
      <w:r>
        <w:rPr>
          <w:rFonts w:ascii="Times New Roman" w:hAnsi="Times New Roman" w:cs="Times New Roman"/>
          <w:bCs/>
          <w:sz w:val="24"/>
          <w:szCs w:val="24"/>
          <w:vertAlign w:val="superscript"/>
        </w:rPr>
        <w:t>1,2</w:t>
      </w:r>
      <w:r>
        <w:rPr>
          <w:rFonts w:ascii="Times New Roman" w:hAnsi="Times New Roman" w:cs="Times New Roman"/>
          <w:bCs/>
          <w:sz w:val="24"/>
          <w:szCs w:val="24"/>
        </w:rPr>
        <w:t>, А.А. Вашков</w:t>
      </w:r>
      <w:r>
        <w:rPr>
          <w:rFonts w:ascii="Times New Roman" w:hAnsi="Times New Roman" w:cs="Times New Roman"/>
          <w:bCs/>
          <w:sz w:val="24"/>
          <w:szCs w:val="24"/>
          <w:vertAlign w:val="superscript"/>
        </w:rPr>
        <w:t>3</w:t>
      </w:r>
      <w:r>
        <w:rPr>
          <w:rFonts w:ascii="Times New Roman" w:hAnsi="Times New Roman" w:cs="Times New Roman"/>
          <w:bCs/>
          <w:sz w:val="24"/>
          <w:szCs w:val="24"/>
        </w:rPr>
        <w:t>, О.С. Шилова</w:t>
      </w:r>
      <w:r>
        <w:rPr>
          <w:rFonts w:ascii="Times New Roman" w:hAnsi="Times New Roman" w:cs="Times New Roman"/>
          <w:bCs/>
          <w:sz w:val="24"/>
          <w:szCs w:val="24"/>
          <w:vertAlign w:val="superscript"/>
        </w:rPr>
        <w:t>4</w:t>
      </w:r>
      <w:r>
        <w:rPr>
          <w:rFonts w:ascii="Times New Roman" w:hAnsi="Times New Roman" w:cs="Times New Roman"/>
          <w:bCs/>
          <w:sz w:val="24"/>
          <w:szCs w:val="24"/>
        </w:rPr>
        <w:t>, В.М. Хайтов</w:t>
      </w:r>
      <w:r>
        <w:rPr>
          <w:rFonts w:ascii="Times New Roman" w:hAnsi="Times New Roman" w:cs="Times New Roman"/>
          <w:bCs/>
          <w:sz w:val="24"/>
          <w:szCs w:val="24"/>
          <w:vertAlign w:val="superscript"/>
        </w:rPr>
        <w:t>5,6</w:t>
      </w:r>
      <w:r>
        <w:rPr>
          <w:rFonts w:ascii="Times New Roman" w:hAnsi="Times New Roman" w:cs="Times New Roman"/>
          <w:bCs/>
          <w:sz w:val="24"/>
          <w:szCs w:val="24"/>
        </w:rPr>
        <w:t>, Н.Н. Луговой</w:t>
      </w:r>
      <w:r>
        <w:rPr>
          <w:rFonts w:ascii="Times New Roman" w:hAnsi="Times New Roman" w:cs="Times New Roman"/>
          <w:bCs/>
          <w:sz w:val="24"/>
          <w:szCs w:val="24"/>
          <w:vertAlign w:val="superscript"/>
        </w:rPr>
        <w:t>1,4</w:t>
      </w:r>
      <w:r>
        <w:rPr>
          <w:rFonts w:ascii="Times New Roman" w:hAnsi="Times New Roman" w:cs="Times New Roman"/>
          <w:bCs/>
          <w:sz w:val="24"/>
          <w:szCs w:val="24"/>
        </w:rPr>
        <w:t>, К.В. Башилов</w:t>
      </w:r>
      <w:r>
        <w:rPr>
          <w:rFonts w:ascii="Times New Roman" w:hAnsi="Times New Roman" w:cs="Times New Roman"/>
          <w:bCs/>
          <w:sz w:val="24"/>
          <w:szCs w:val="24"/>
          <w:vertAlign w:val="superscript"/>
        </w:rPr>
        <w:t>7</w:t>
      </w:r>
      <w:r>
        <w:rPr>
          <w:rFonts w:ascii="Times New Roman" w:hAnsi="Times New Roman" w:cs="Times New Roman"/>
          <w:bCs/>
          <w:sz w:val="24"/>
          <w:szCs w:val="24"/>
        </w:rPr>
        <w:t>, М. П. Бутаковская</w:t>
      </w:r>
      <w:r>
        <w:rPr>
          <w:rFonts w:ascii="Times New Roman" w:hAnsi="Times New Roman" w:cs="Times New Roman"/>
          <w:bCs/>
          <w:sz w:val="24"/>
          <w:szCs w:val="24"/>
          <w:vertAlign w:val="superscript"/>
        </w:rPr>
        <w:t>8</w:t>
      </w:r>
    </w:p>
    <w:p w14:paraId="6F001FDF">
      <w:pPr>
        <w:spacing w:after="0" w:line="240" w:lineRule="auto"/>
        <w:jc w:val="center"/>
        <w:rPr>
          <w:rFonts w:ascii="Times New Roman" w:hAnsi="Times New Roman" w:cs="Times New Roman"/>
          <w:bCs/>
          <w:sz w:val="24"/>
          <w:szCs w:val="24"/>
        </w:rPr>
      </w:pPr>
    </w:p>
    <w:p w14:paraId="1CA92E6F">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1</w:t>
      </w:r>
      <w:r>
        <w:rPr>
          <w:rFonts w:ascii="Times New Roman" w:hAnsi="Times New Roman" w:cs="Times New Roman"/>
          <w:bCs/>
          <w:i/>
          <w:sz w:val="24"/>
          <w:szCs w:val="24"/>
        </w:rPr>
        <w:t>Институт географии РАН, Москва, Россия</w:t>
      </w:r>
    </w:p>
    <w:p w14:paraId="0037950D">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2</w:t>
      </w:r>
      <w:r>
        <w:rPr>
          <w:rFonts w:ascii="Times New Roman" w:hAnsi="Times New Roman" w:cs="Times New Roman"/>
          <w:bCs/>
          <w:i/>
          <w:sz w:val="24"/>
          <w:szCs w:val="24"/>
        </w:rPr>
        <w:t>Геологический институт РАН, Москва, Россия</w:t>
      </w:r>
    </w:p>
    <w:p w14:paraId="208EB654">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rPr>
        <w:t>3</w:t>
      </w:r>
    </w:p>
    <w:p w14:paraId="76956C43">
      <w:pPr>
        <w:spacing w:after="0" w:line="240" w:lineRule="auto"/>
        <w:jc w:val="center"/>
        <w:rPr>
          <w:rFonts w:ascii="Times New Roman" w:hAnsi="Times New Roman" w:cs="Times New Roman"/>
          <w:bCs/>
          <w:i/>
          <w:sz w:val="24"/>
          <w:szCs w:val="24"/>
        </w:rPr>
      </w:pPr>
      <w:r>
        <w:rPr>
          <w:rFonts w:ascii="Times New Roman" w:hAnsi="Times New Roman" w:cs="Times New Roman"/>
          <w:bCs/>
          <w:i/>
          <w:sz w:val="24"/>
          <w:szCs w:val="24"/>
          <w:vertAlign w:val="superscript"/>
        </w:rPr>
        <w:t>4</w:t>
      </w:r>
      <w:r>
        <w:rPr>
          <w:rFonts w:ascii="Times New Roman" w:hAnsi="Times New Roman" w:cs="Times New Roman"/>
          <w:bCs/>
          <w:i/>
          <w:sz w:val="24"/>
          <w:szCs w:val="24"/>
        </w:rPr>
        <w:t>Московский государственный университет имени М.В.Ломоносова, Москва, Россия</w:t>
      </w:r>
    </w:p>
    <w:p w14:paraId="4B219AC0">
      <w:pPr>
        <w:spacing w:after="0" w:line="240" w:lineRule="auto"/>
        <w:ind w:firstLine="480"/>
        <w:jc w:val="center"/>
        <w:rPr>
          <w:rFonts w:ascii="Times New Roman" w:hAnsi="Times New Roman" w:cs="Times New Roman"/>
          <w:i/>
          <w:sz w:val="24"/>
          <w:szCs w:val="24"/>
        </w:rPr>
      </w:pPr>
      <w:r>
        <w:rPr>
          <w:rFonts w:ascii="Times New Roman" w:hAnsi="Times New Roman" w:cs="Times New Roman"/>
          <w:i/>
          <w:sz w:val="24"/>
          <w:szCs w:val="24"/>
          <w:vertAlign w:val="superscript"/>
        </w:rPr>
        <w:t>5</w:t>
      </w:r>
      <w:r>
        <w:rPr>
          <w:rFonts w:ascii="Times New Roman" w:hAnsi="Times New Roman" w:cs="Times New Roman"/>
          <w:i/>
          <w:sz w:val="24"/>
          <w:szCs w:val="24"/>
        </w:rPr>
        <w:t>Биологический факультет, Санкт-Петербургский государственный университет, Санкт-Петербург, Россия</w:t>
      </w:r>
    </w:p>
    <w:p w14:paraId="0A440DF9">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vertAlign w:val="superscript"/>
        </w:rPr>
        <w:t>6</w:t>
      </w:r>
      <w:r>
        <w:rPr>
          <w:rFonts w:ascii="Times New Roman" w:hAnsi="Times New Roman" w:cs="Times New Roman"/>
          <w:i/>
          <w:sz w:val="24"/>
          <w:szCs w:val="24"/>
        </w:rPr>
        <w:t>ФГБУ «Кандалакшский государственный заповедник», Кандалакша, Россия</w:t>
      </w:r>
    </w:p>
    <w:p w14:paraId="2DD59BCE">
      <w:pPr>
        <w:spacing w:after="0" w:line="240" w:lineRule="auto"/>
        <w:jc w:val="center"/>
        <w:rPr>
          <w:rFonts w:ascii="Times New Roman" w:hAnsi="Times New Roman" w:cs="Times New Roman"/>
          <w:bCs/>
          <w:i/>
          <w:sz w:val="24"/>
          <w:szCs w:val="24"/>
        </w:rPr>
      </w:pPr>
      <w:r>
        <w:rPr>
          <w:rFonts w:ascii="Times New Roman" w:hAnsi="Times New Roman" w:cs="Times New Roman"/>
          <w:i/>
          <w:sz w:val="24"/>
          <w:szCs w:val="24"/>
          <w:vertAlign w:val="superscript"/>
        </w:rPr>
        <w:t>7</w:t>
      </w:r>
      <w:r>
        <w:rPr>
          <w:rFonts w:ascii="Times New Roman" w:hAnsi="Times New Roman" w:cs="Times New Roman"/>
          <w:i/>
          <w:sz w:val="24"/>
          <w:szCs w:val="24"/>
        </w:rPr>
        <w:t>ГБНОУ «Санкт-Петербургский городской Дворец творчества юных», Эколого-биологический центр «Крестовский остров», Лаборатория экологии морского бентоса, Санкт-Петербург, Россия</w:t>
      </w:r>
    </w:p>
    <w:p w14:paraId="67A9ADF5">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vertAlign w:val="superscript"/>
        </w:rPr>
        <w:t>8</w:t>
      </w:r>
      <w:r>
        <w:rPr>
          <w:rFonts w:ascii="Times New Roman" w:hAnsi="Times New Roman" w:cs="Times New Roman"/>
          <w:i/>
          <w:sz w:val="24"/>
          <w:szCs w:val="24"/>
        </w:rPr>
        <w:t>ФГАУ ВО «Санкт-Петербургский политехнический университет Петра Великого», Санкт-Петербург, Россия</w:t>
      </w:r>
    </w:p>
    <w:p w14:paraId="6072F2CA">
      <w:pPr>
        <w:spacing w:after="0" w:line="360" w:lineRule="auto"/>
        <w:jc w:val="center"/>
        <w:rPr>
          <w:rFonts w:ascii="Times New Roman" w:hAnsi="Times New Roman" w:cs="Times New Roman"/>
          <w:sz w:val="24"/>
          <w:szCs w:val="24"/>
          <w:lang w:val="en-US"/>
        </w:rPr>
      </w:pPr>
      <w:r>
        <w:rPr>
          <w:rFonts w:ascii="Times New Roman" w:hAnsi="Times New Roman" w:cs="Times New Roman"/>
          <w:i/>
          <w:sz w:val="24"/>
          <w:szCs w:val="24"/>
          <w:lang w:val="en-US"/>
        </w:rPr>
        <w:t>*E-mail: zaretsk@igras.ru</w:t>
      </w:r>
    </w:p>
    <w:p w14:paraId="2870FD85">
      <w:pPr>
        <w:spacing w:after="0" w:line="240" w:lineRule="auto"/>
        <w:jc w:val="center"/>
        <w:rPr>
          <w:rFonts w:ascii="Times New Roman" w:hAnsi="Times New Roman" w:cs="Times New Roman"/>
          <w:b/>
          <w:bCs/>
          <w:sz w:val="24"/>
          <w:szCs w:val="24"/>
          <w:lang w:val="en-US"/>
        </w:rPr>
      </w:pPr>
    </w:p>
    <w:p w14:paraId="4622C96A">
      <w:pPr>
        <w:spacing w:after="0" w:line="240" w:lineRule="auto"/>
        <w:jc w:val="center"/>
        <w:rPr>
          <w:rFonts w:ascii="Times New Roman" w:hAnsi="Times New Roman" w:cs="Times New Roman"/>
          <w:b/>
          <w:bCs/>
          <w:sz w:val="24"/>
          <w:szCs w:val="24"/>
          <w:lang w:val="en-US"/>
        </w:rPr>
      </w:pPr>
      <w:r>
        <w:rPr>
          <w:rFonts w:ascii="Times New Roman" w:hAnsi="Times New Roman" w:cs="Times New Roman"/>
          <w:b/>
          <w:sz w:val="24"/>
          <w:szCs w:val="24"/>
          <w:highlight w:val="yellow"/>
          <w:lang w:val="en-US"/>
        </w:rPr>
        <w:t>The association of glaciofluvial and marine formations of the Late Glacial – early Holocene of the Kandalaksha coast of the White Sea</w:t>
      </w:r>
    </w:p>
    <w:p w14:paraId="5226958D">
      <w:pPr>
        <w:spacing w:after="0" w:line="240" w:lineRule="auto"/>
        <w:jc w:val="center"/>
        <w:rPr>
          <w:rFonts w:ascii="Times New Roman" w:hAnsi="Times New Roman" w:cs="Times New Roman"/>
          <w:b/>
          <w:bCs/>
          <w:sz w:val="24"/>
          <w:szCs w:val="24"/>
          <w:lang w:val="en-US"/>
        </w:rPr>
      </w:pPr>
    </w:p>
    <w:p w14:paraId="530018D6">
      <w:pPr>
        <w:spacing w:after="0" w:line="240" w:lineRule="auto"/>
        <w:jc w:val="center"/>
        <w:rPr>
          <w:rFonts w:ascii="Times New Roman" w:hAnsi="Times New Roman" w:cs="Times New Roman"/>
          <w:bCs/>
          <w:sz w:val="24"/>
          <w:szCs w:val="24"/>
          <w:lang w:val="en-US"/>
        </w:rPr>
      </w:pPr>
      <w:r>
        <w:rPr>
          <w:rFonts w:ascii="Times New Roman" w:hAnsi="Times New Roman" w:cs="Times New Roman"/>
          <w:sz w:val="24"/>
          <w:szCs w:val="24"/>
          <w:lang w:val="en-US"/>
        </w:rPr>
        <w:t>N.E. Zaretskaya</w:t>
      </w:r>
      <w:r>
        <w:rPr>
          <w:rFonts w:ascii="Times New Roman" w:hAnsi="Times New Roman" w:cs="Times New Roman"/>
          <w:bCs/>
          <w:sz w:val="24"/>
          <w:szCs w:val="24"/>
          <w:vertAlign w:val="superscript"/>
          <w:lang w:val="en-US"/>
        </w:rPr>
        <w:t xml:space="preserve"> a,b,*</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A.A. Vashkov</w:t>
      </w:r>
      <w:r>
        <w:rPr>
          <w:rFonts w:ascii="Times New Roman" w:hAnsi="Times New Roman" w:cs="Times New Roman"/>
          <w:bCs/>
          <w:sz w:val="24"/>
          <w:szCs w:val="24"/>
          <w:vertAlign w:val="superscript"/>
          <w:lang w:val="en-US"/>
        </w:rPr>
        <w:t xml:space="preserve"> c</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O.S. Shilova</w:t>
      </w:r>
      <w:r>
        <w:rPr>
          <w:rFonts w:ascii="Times New Roman" w:hAnsi="Times New Roman" w:cs="Times New Roman"/>
          <w:bCs/>
          <w:sz w:val="24"/>
          <w:szCs w:val="24"/>
          <w:vertAlign w:val="superscript"/>
          <w:lang w:val="en-US"/>
        </w:rPr>
        <w:t xml:space="preserve"> d</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V.M. Khaitov</w:t>
      </w:r>
      <w:r>
        <w:rPr>
          <w:rFonts w:ascii="Times New Roman" w:hAnsi="Times New Roman" w:cs="Times New Roman"/>
          <w:bCs/>
          <w:sz w:val="24"/>
          <w:szCs w:val="24"/>
          <w:vertAlign w:val="superscript"/>
          <w:lang w:val="en-US"/>
        </w:rPr>
        <w:t xml:space="preserve"> e,f</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N.N. Lugovoy</w:t>
      </w:r>
      <w:r>
        <w:rPr>
          <w:rFonts w:ascii="Times New Roman" w:hAnsi="Times New Roman" w:cs="Times New Roman"/>
          <w:bCs/>
          <w:sz w:val="24"/>
          <w:szCs w:val="24"/>
          <w:vertAlign w:val="superscript"/>
          <w:lang w:val="en-US"/>
        </w:rPr>
        <w:t xml:space="preserve"> a,d</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K.V. Bashilov</w:t>
      </w:r>
      <w:r>
        <w:rPr>
          <w:rFonts w:ascii="Times New Roman" w:hAnsi="Times New Roman" w:cs="Times New Roman"/>
          <w:bCs/>
          <w:sz w:val="24"/>
          <w:szCs w:val="24"/>
          <w:vertAlign w:val="superscript"/>
          <w:lang w:val="en-US"/>
        </w:rPr>
        <w:t xml:space="preserve"> g</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M.P. Butakovskaya</w:t>
      </w:r>
      <w:r>
        <w:rPr>
          <w:rFonts w:ascii="Times New Roman" w:hAnsi="Times New Roman" w:cs="Times New Roman"/>
          <w:bCs/>
          <w:sz w:val="24"/>
          <w:szCs w:val="24"/>
          <w:vertAlign w:val="superscript"/>
          <w:lang w:val="en-US"/>
        </w:rPr>
        <w:t xml:space="preserve"> h</w:t>
      </w:r>
    </w:p>
    <w:p w14:paraId="1B12F382">
      <w:pPr>
        <w:spacing w:after="0" w:line="240" w:lineRule="auto"/>
        <w:jc w:val="center"/>
        <w:rPr>
          <w:rFonts w:ascii="Times New Roman" w:hAnsi="Times New Roman" w:cs="Times New Roman"/>
          <w:bCs/>
          <w:sz w:val="24"/>
          <w:szCs w:val="24"/>
          <w:lang w:val="en-US"/>
        </w:rPr>
      </w:pPr>
    </w:p>
    <w:p w14:paraId="3C3C07F1">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a</w:t>
      </w:r>
      <w:r>
        <w:rPr>
          <w:rFonts w:ascii="Times New Roman" w:hAnsi="Times New Roman" w:cs="Times New Roman"/>
          <w:bCs/>
          <w:i/>
          <w:sz w:val="24"/>
          <w:szCs w:val="24"/>
          <w:lang w:val="en-US"/>
        </w:rPr>
        <w:t>Institute of Geography, Russian Academy of Sciences, Moscow, Russia</w:t>
      </w:r>
    </w:p>
    <w:p w14:paraId="69390FAC">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b</w:t>
      </w:r>
      <w:r>
        <w:rPr>
          <w:rFonts w:ascii="Times New Roman" w:hAnsi="Times New Roman" w:cs="Times New Roman"/>
          <w:bCs/>
          <w:i/>
          <w:sz w:val="24"/>
          <w:szCs w:val="24"/>
          <w:lang w:val="en-US"/>
        </w:rPr>
        <w:t>Geological Institute, Russian Academy of Sciences, Moscow, Russia</w:t>
      </w:r>
    </w:p>
    <w:p w14:paraId="7683697C">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c</w:t>
      </w:r>
      <w:r>
        <w:rPr>
          <w:rFonts w:ascii="Times New Roman" w:hAnsi="Times New Roman" w:cs="Times New Roman"/>
          <w:bCs/>
          <w:i/>
          <w:sz w:val="24"/>
          <w:szCs w:val="24"/>
          <w:lang w:val="en-US"/>
        </w:rPr>
        <w:t>Geological Institute, Kola Scientific Centre, Russian Academy of Sciences, Apatity, Russia</w:t>
      </w:r>
    </w:p>
    <w:p w14:paraId="42A43684">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d</w:t>
      </w:r>
      <w:r>
        <w:rPr>
          <w:rFonts w:ascii="Times New Roman" w:hAnsi="Times New Roman" w:cs="Times New Roman"/>
          <w:bCs/>
          <w:i/>
          <w:sz w:val="24"/>
          <w:szCs w:val="24"/>
          <w:lang w:val="en-US"/>
        </w:rPr>
        <w:t>Lomonosov Moscow State University, Moscow, Russia</w:t>
      </w:r>
    </w:p>
    <w:p w14:paraId="7DAAA92E">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e</w:t>
      </w:r>
      <w:r>
        <w:rPr>
          <w:rFonts w:ascii="Times New Roman" w:hAnsi="Times New Roman" w:cs="Times New Roman"/>
          <w:bCs/>
          <w:i/>
          <w:sz w:val="24"/>
          <w:szCs w:val="24"/>
          <w:lang w:val="en-US"/>
        </w:rPr>
        <w:t>Faculty of Biology, Saint Petersburg State University, Saint Petersburg, Russia</w:t>
      </w:r>
    </w:p>
    <w:p w14:paraId="517EA530">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f</w:t>
      </w:r>
      <w:r>
        <w:rPr>
          <w:rFonts w:ascii="Times New Roman" w:hAnsi="Times New Roman" w:cs="Times New Roman"/>
          <w:bCs/>
          <w:i/>
          <w:sz w:val="24"/>
          <w:szCs w:val="24"/>
          <w:lang w:val="en-US"/>
        </w:rPr>
        <w:t>Kandalaksha State Nature Reserve, Kandalaksha, Russia</w:t>
      </w:r>
    </w:p>
    <w:p w14:paraId="0D1F2387">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g</w:t>
      </w:r>
      <w:r>
        <w:rPr>
          <w:rFonts w:ascii="Times New Roman" w:hAnsi="Times New Roman" w:cs="Times New Roman"/>
          <w:bCs/>
          <w:i/>
          <w:sz w:val="24"/>
          <w:szCs w:val="24"/>
          <w:lang w:val="en-US"/>
        </w:rPr>
        <w:t>St. Petersburg City Palace of Youth Creativity, Krestovsky Island Ecological and Biological Centre, Marine Benthos Ecology Laboratory, St. Petersburg, Russia</w:t>
      </w:r>
    </w:p>
    <w:p w14:paraId="31B1130E">
      <w:pPr>
        <w:spacing w:after="0" w:line="240" w:lineRule="auto"/>
        <w:jc w:val="center"/>
        <w:rPr>
          <w:rFonts w:ascii="Times New Roman" w:hAnsi="Times New Roman" w:cs="Times New Roman"/>
          <w:i/>
          <w:sz w:val="24"/>
          <w:szCs w:val="24"/>
          <w:lang w:val="en-US"/>
        </w:rPr>
      </w:pPr>
      <w:r>
        <w:rPr>
          <w:rFonts w:ascii="Times New Roman" w:hAnsi="Times New Roman" w:cs="Times New Roman"/>
          <w:bCs/>
          <w:i/>
          <w:sz w:val="24"/>
          <w:szCs w:val="24"/>
          <w:vertAlign w:val="superscript"/>
          <w:lang w:val="en-US"/>
        </w:rPr>
        <w:t>h</w:t>
      </w:r>
      <w:r>
        <w:rPr>
          <w:rFonts w:ascii="Times New Roman" w:hAnsi="Times New Roman" w:cs="Times New Roman"/>
          <w:bCs/>
          <w:i/>
          <w:sz w:val="24"/>
          <w:szCs w:val="24"/>
          <w:lang w:val="en-US"/>
        </w:rPr>
        <w:t>Peter the Great St. Petersburg Polytechnic University, St. Petersburg, Russia</w:t>
      </w:r>
    </w:p>
    <w:p w14:paraId="23DD1C6B">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rPr>
        <w:t xml:space="preserve">с </w:t>
      </w:r>
    </w:p>
    <w:p w14:paraId="76E1C8B6">
      <w:pPr>
        <w:spacing w:after="0" w:line="360" w:lineRule="auto"/>
        <w:jc w:val="both"/>
        <w:rPr>
          <w:rFonts w:ascii="Times New Roman" w:hAnsi="Times New Roman" w:cs="Times New Roman"/>
          <w:bCs/>
          <w:sz w:val="24"/>
          <w:szCs w:val="24"/>
        </w:rPr>
      </w:pPr>
    </w:p>
    <w:p w14:paraId="39950236">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en-US"/>
        </w:rPr>
        <w:t>ABSTRACT</w:t>
      </w:r>
    </w:p>
    <w:p w14:paraId="7376098A">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Представлены результаты палеогеографических исследований в пределах Колвицкой ложбины (юго-запад Кольского полуострова). Ее современный рельеф выражен за счет ледникового комплекса отложений, в составе которого морфологически отчетливо выделяются ребристые морены. Ледниковые отложения как по периферии, так и в осевой части ложбины надстраиваются флювиогляциальными отложениями озов, конусов выноса и дельт, а также лимногляциальными образованиями. Формирование ледникового комплекса и его флювио- лимногляциальной надстройки происходило во время деградации последнего ледникового покрова около 14.1–</w:t>
      </w:r>
      <w:r>
        <w:rPr>
          <w:rFonts w:ascii="Times New Roman" w:hAnsi="Times New Roman" w:cs="Times New Roman"/>
          <w:sz w:val="24"/>
          <w:szCs w:val="24"/>
          <w:highlight w:val="yellow"/>
        </w:rPr>
        <w:t>12.9</w:t>
      </w:r>
      <w:r>
        <w:rPr>
          <w:rFonts w:ascii="Times New Roman" w:hAnsi="Times New Roman" w:cs="Times New Roman"/>
          <w:sz w:val="24"/>
          <w:szCs w:val="24"/>
        </w:rPr>
        <w:t xml:space="preserve"> тыс. л.н. </w:t>
      </w:r>
    </w:p>
    <w:p w14:paraId="1A492F53">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осевой части ложбины на отметках высот не более </w:t>
      </w:r>
      <w:r>
        <w:rPr>
          <w:rFonts w:ascii="Times New Roman" w:hAnsi="Times New Roman" w:cs="Times New Roman"/>
          <w:sz w:val="24"/>
          <w:szCs w:val="24"/>
          <w:highlight w:val="yellow"/>
        </w:rPr>
        <w:t>50–55 м н.у.м.</w:t>
      </w:r>
      <w:r>
        <w:rPr>
          <w:rFonts w:ascii="Times New Roman" w:hAnsi="Times New Roman" w:cs="Times New Roman"/>
          <w:sz w:val="24"/>
          <w:szCs w:val="24"/>
        </w:rPr>
        <w:t xml:space="preserve"> к флювиогляциальным отложениям озов прислонена морская терраса, верхний возрастной предел которой фиксируется погребённой мидиевой банкой, по которой получена дата 9.4 тыс. кал. л.н. Данные диатомового и малакофаунистического анализов демонстрируют переход от </w:t>
      </w:r>
      <w:r>
        <w:rPr>
          <w:rFonts w:ascii="Times New Roman" w:hAnsi="Times New Roman" w:cs="Times New Roman"/>
          <w:sz w:val="24"/>
          <w:szCs w:val="24"/>
          <w:shd w:val="clear" w:color="auto" w:fill="FFFFFF"/>
        </w:rPr>
        <w:t xml:space="preserve">сильно опресненного ледовитого морского бассейна </w:t>
      </w:r>
      <w:r>
        <w:rPr>
          <w:rFonts w:ascii="Times New Roman" w:hAnsi="Times New Roman" w:cs="Times New Roman"/>
          <w:sz w:val="24"/>
          <w:szCs w:val="24"/>
          <w:highlight w:val="yellow"/>
          <w:shd w:val="clear" w:color="auto" w:fill="FFFFFF"/>
        </w:rPr>
        <w:t>(который мог существовать здесь с конца аллерёда, около 12.9–12.7 тыс л.н.)</w:t>
      </w:r>
      <w:r>
        <w:rPr>
          <w:rFonts w:ascii="Times New Roman" w:hAnsi="Times New Roman" w:cs="Times New Roman"/>
          <w:sz w:val="24"/>
          <w:szCs w:val="24"/>
          <w:shd w:val="clear" w:color="auto" w:fill="FFFFFF"/>
        </w:rPr>
        <w:t xml:space="preserve"> к более глубоководному морскому, а затем к более тёплой литоральной обстановке осадконакопления во время регрессии моря (</w:t>
      </w:r>
      <w:r>
        <w:rPr>
          <w:rFonts w:ascii="Times New Roman" w:hAnsi="Times New Roman" w:cs="Times New Roman"/>
          <w:sz w:val="24"/>
          <w:szCs w:val="24"/>
          <w:highlight w:val="yellow"/>
          <w:shd w:val="clear" w:color="auto" w:fill="FFFFFF"/>
        </w:rPr>
        <w:t>можно добавить примерную хронологию</w:t>
      </w:r>
      <w:r>
        <w:rPr>
          <w:rFonts w:ascii="Times New Roman" w:hAnsi="Times New Roman" w:cs="Times New Roman"/>
          <w:sz w:val="24"/>
          <w:szCs w:val="24"/>
          <w:shd w:val="clear" w:color="auto" w:fill="FFFFFF"/>
        </w:rPr>
        <w:t xml:space="preserve">). Постепенный переход от </w:t>
      </w:r>
      <w:r>
        <w:rPr>
          <w:rFonts w:ascii="Times New Roman" w:hAnsi="Times New Roman" w:cs="Times New Roman"/>
          <w:sz w:val="24"/>
          <w:szCs w:val="24"/>
        </w:rPr>
        <w:t>морского к пресноводному осадконакоплению</w:t>
      </w:r>
      <w:r>
        <w:rPr>
          <w:rFonts w:ascii="Times New Roman" w:hAnsi="Times New Roman" w:cs="Times New Roman"/>
          <w:sz w:val="24"/>
          <w:szCs w:val="24"/>
          <w:shd w:val="clear" w:color="auto" w:fill="FFFFFF"/>
        </w:rPr>
        <w:t xml:space="preserve"> в начале среднего голоцена фиксируется</w:t>
      </w:r>
      <w:r>
        <w:rPr>
          <w:rFonts w:ascii="Times New Roman" w:hAnsi="Times New Roman" w:cs="Times New Roman"/>
          <w:sz w:val="24"/>
          <w:szCs w:val="24"/>
        </w:rPr>
        <w:t xml:space="preserve"> и в</w:t>
      </w:r>
      <w:r>
        <w:rPr>
          <w:rFonts w:ascii="Times New Roman" w:hAnsi="Times New Roman" w:cs="Times New Roman"/>
          <w:sz w:val="24"/>
          <w:szCs w:val="24"/>
          <w:shd w:val="clear" w:color="auto" w:fill="FFFFFF"/>
        </w:rPr>
        <w:t xml:space="preserve"> донных отложениях небольшого озера, расположенного в гляциокарстовой котловине, </w:t>
      </w:r>
      <w:r>
        <w:rPr>
          <w:rFonts w:ascii="Times New Roman" w:hAnsi="Times New Roman" w:cs="Times New Roman"/>
          <w:sz w:val="24"/>
          <w:szCs w:val="24"/>
        </w:rPr>
        <w:t>что явилось откликом на региональную морскую регрессию в первой половине голоцена.</w:t>
      </w:r>
    </w:p>
    <w:p w14:paraId="6B6313C1">
      <w:pPr>
        <w:spacing w:after="0" w:line="360" w:lineRule="auto"/>
        <w:ind w:firstLine="567"/>
        <w:jc w:val="both"/>
        <w:rPr>
          <w:rFonts w:ascii="Times New Roman" w:hAnsi="Times New Roman" w:cs="Times New Roman"/>
          <w:sz w:val="24"/>
          <w:szCs w:val="24"/>
        </w:rPr>
      </w:pPr>
      <w:r>
        <w:rPr>
          <w:rFonts w:ascii="Times New Roman" w:hAnsi="Times New Roman" w:cs="Times New Roman"/>
          <w:b/>
          <w:sz w:val="24"/>
          <w:szCs w:val="24"/>
          <w:lang w:val="en-US"/>
        </w:rPr>
        <w:t>Key</w:t>
      </w:r>
      <w:r>
        <w:rPr>
          <w:rFonts w:ascii="Times New Roman" w:hAnsi="Times New Roman" w:cs="Times New Roman"/>
          <w:b/>
          <w:sz w:val="24"/>
          <w:szCs w:val="24"/>
        </w:rPr>
        <w:t xml:space="preserve"> </w:t>
      </w:r>
      <w:r>
        <w:rPr>
          <w:rFonts w:ascii="Times New Roman" w:hAnsi="Times New Roman" w:cs="Times New Roman"/>
          <w:b/>
          <w:sz w:val="24"/>
          <w:szCs w:val="24"/>
          <w:lang w:val="en-US"/>
        </w:rPr>
        <w:t>words</w:t>
      </w:r>
      <w:r>
        <w:rPr>
          <w:rFonts w:ascii="Times New Roman" w:hAnsi="Times New Roman" w:cs="Times New Roman"/>
          <w:sz w:val="24"/>
          <w:szCs w:val="24"/>
        </w:rPr>
        <w:t>: Кольский полуостров, Белое море, Колвицкая ложбина, позднеледниковье, ранний голоцен, водно-ледниковые и морские образования, аналитические исследования, хронология.</w:t>
      </w:r>
    </w:p>
    <w:p w14:paraId="5D01F6C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0287D64">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ВВЕДЕНИЕ</w:t>
      </w:r>
    </w:p>
    <w:p w14:paraId="00347A1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Деградация последнего Скандинавского оледенения и последующее развитие природной среды и ландшафтов продолжает вызывать большой интерес среди исследователей в связи с необходимостью определения направленности современных климатических изменений и связанных с ними глобальных рисков. В последнее время такие работы ведутся расширенным комплексом методов, которые отличает повышенная детализация. Наиболее интересны подобные исследования на территориях с сочетанием нескольких разнородных природных обстановок. Один из таких участков на северо-западе России – южное и юго-западное побережье Кольского полуострова (Кандалакшский берег Белого моря). Характерный ландшафт ледниковой области последнего оледенения здесь сочетается с крупными выступами пород кристаллического фундамента в виде низких гор. Также территория отличается большой амплитудой гляциоизостатического поднятия, в результате чего здесь можно проследить последовательные фазы позднеледниковых и голоценовых трансгрессий Белого моря, а также последующую изоляцию отдельных частей моря и их трансформацию в озёра на разных высотных уровнях. Сочетание отложений ледникового парагенетического ряда, морских и озёрных осадков является перспективными палеоархивами. Получаемая из них информация позволяет реконструировать как </w:t>
      </w:r>
      <w:r>
        <w:rPr>
          <w:rFonts w:ascii="Times New Roman" w:hAnsi="Times New Roman" w:cs="Times New Roman"/>
          <w:sz w:val="24"/>
          <w:szCs w:val="24"/>
          <w:highlight w:val="cyan"/>
        </w:rPr>
        <w:t>обстановки</w:t>
      </w:r>
      <w:r>
        <w:rPr>
          <w:rFonts w:ascii="Times New Roman" w:hAnsi="Times New Roman" w:cs="Times New Roman"/>
          <w:sz w:val="24"/>
          <w:szCs w:val="24"/>
        </w:rPr>
        <w:t xml:space="preserve"> осадконакопления и их хронологию, соотношение форм рельефа разного генезиса и особенности палеогеографических </w:t>
      </w:r>
      <w:r>
        <w:rPr>
          <w:rFonts w:ascii="Times New Roman" w:hAnsi="Times New Roman" w:cs="Times New Roman"/>
          <w:sz w:val="24"/>
          <w:szCs w:val="24"/>
          <w:highlight w:val="cyan"/>
        </w:rPr>
        <w:t>обстановок</w:t>
      </w:r>
      <w:r>
        <w:rPr>
          <w:rFonts w:ascii="Times New Roman" w:hAnsi="Times New Roman" w:cs="Times New Roman"/>
          <w:sz w:val="24"/>
          <w:szCs w:val="24"/>
        </w:rPr>
        <w:t xml:space="preserve"> в недавнем геологическом прошлом.  </w:t>
      </w:r>
    </w:p>
    <w:p w14:paraId="4E1D737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Одним из ключевых участков Кандалакшского берега Белого моря и объектом наших исследований является Колвицкая ложбина (</w:t>
      </w:r>
      <w:r>
        <w:rPr>
          <w:rFonts w:ascii="Times New Roman" w:hAnsi="Times New Roman" w:cs="Times New Roman"/>
          <w:sz w:val="24"/>
          <w:szCs w:val="24"/>
          <w:highlight w:val="yellow"/>
        </w:rPr>
        <w:t>Рис. 1</w:t>
      </w:r>
      <w:r>
        <w:rPr>
          <w:rFonts w:ascii="Times New Roman" w:hAnsi="Times New Roman" w:cs="Times New Roman"/>
          <w:sz w:val="24"/>
          <w:szCs w:val="24"/>
        </w:rPr>
        <w:t>). На сегодня нет единого мнения о времени дегляциации этой территории. Большинство исследователей придерживается мнения, что во время потепления аллерёд ложбина была освобождена ото льда, но повторно перекрывалась активным ледниковым покровом в фазу активизации позднего дриаса (</w:t>
      </w:r>
      <w:r>
        <w:rPr>
          <w:rFonts w:ascii="Times New Roman" w:hAnsi="Times New Roman" w:cs="Times New Roman"/>
          <w:sz w:val="24"/>
          <w:szCs w:val="24"/>
          <w:highlight w:val="yellow"/>
          <w:lang w:val="en-US"/>
        </w:rPr>
        <w:t>Ekman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Ilyin</w:t>
      </w:r>
      <w:r>
        <w:rPr>
          <w:rFonts w:ascii="Times New Roman" w:hAnsi="Times New Roman" w:cs="Times New Roman"/>
          <w:sz w:val="24"/>
          <w:szCs w:val="24"/>
          <w:highlight w:val="yellow"/>
        </w:rPr>
        <w:t xml:space="preserve">, 1991; </w:t>
      </w:r>
      <w:r>
        <w:rPr>
          <w:rFonts w:ascii="Times New Roman" w:hAnsi="Times New Roman" w:cs="Times New Roman"/>
          <w:sz w:val="24"/>
          <w:szCs w:val="24"/>
          <w:highlight w:val="yellow"/>
          <w:lang w:val="en-US"/>
        </w:rPr>
        <w:t>Raanio</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1995</w:t>
      </w:r>
      <w:r>
        <w:rPr>
          <w:rFonts w:ascii="Times New Roman" w:hAnsi="Times New Roman" w:cs="Times New Roman"/>
          <w:sz w:val="24"/>
          <w:szCs w:val="24"/>
        </w:rPr>
        <w:t>). Масштаб этого продвижения оценивается как весьма значительный. Допускается, что активный ледник за короткий срок в 300–200 лет продвинулся до 160–180 км на восток и частично перекрыл котловину Белого моря (</w:t>
      </w:r>
      <w:r>
        <w:rPr>
          <w:rFonts w:ascii="Times New Roman" w:hAnsi="Times New Roman" w:cs="Times New Roman"/>
          <w:sz w:val="24"/>
          <w:szCs w:val="24"/>
          <w:highlight w:val="yellow"/>
          <w:lang w:val="en-US"/>
        </w:rPr>
        <w:t>Raanio</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1995; Евзеров, Николаева, 2000;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2008; Евзеров, 2015;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2024</w:t>
      </w:r>
      <w:r>
        <w:rPr>
          <w:rFonts w:ascii="Times New Roman" w:hAnsi="Times New Roman" w:cs="Times New Roman"/>
          <w:sz w:val="24"/>
          <w:szCs w:val="24"/>
        </w:rPr>
        <w:t>). В отдельных публикациях масштаб этого продвижения уменьшается до продвижения ледника до 40–70 км, а в Колвицкой ложбине допускается существование отдельного ледникового языка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Нет единого мнения и о дегляциации территории во время потепления аллерёд. В ряде работ отмечается, что территория между озерами Колвицкое и Имандра освобождалась ото льда и частично заполнялась водами приледниково-морского бассейна во время этого потепления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2020; </w:t>
      </w:r>
      <w:r>
        <w:rPr>
          <w:rFonts w:ascii="Times New Roman" w:hAnsi="Times New Roman" w:cs="Times New Roman"/>
          <w:sz w:val="24"/>
          <w:szCs w:val="24"/>
          <w:highlight w:val="yellow"/>
          <w:lang w:val="en-US"/>
        </w:rPr>
        <w:t>Lenz</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2021</w:t>
      </w:r>
      <w:r>
        <w:rPr>
          <w:rFonts w:ascii="Times New Roman" w:hAnsi="Times New Roman" w:cs="Times New Roman"/>
          <w:sz w:val="24"/>
          <w:szCs w:val="24"/>
        </w:rPr>
        <w:t>). В других интерпретациях территория от оз. Колвицкое до Имандра была занята льдом, а край ледника находился в восточной части Колвицкой ложбины по линии гряды Вересельга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2008; Евзеров, 201</w:t>
      </w:r>
      <w:r>
        <w:rPr>
          <w:rFonts w:ascii="Times New Roman" w:hAnsi="Times New Roman" w:cs="Times New Roman"/>
          <w:sz w:val="24"/>
          <w:szCs w:val="24"/>
        </w:rPr>
        <w:t>5). В связи с таким разнообразием вариантов палеогеографических обстановок в позднеледниковье не совсем понятно время перекрытия территории ложбины водами траснгрессировавшего Белого моря. Его присутствие, по данным (</w:t>
      </w:r>
      <w:r>
        <w:rPr>
          <w:rFonts w:ascii="Times New Roman" w:hAnsi="Times New Roman" w:cs="Times New Roman"/>
          <w:sz w:val="24"/>
          <w:szCs w:val="24"/>
          <w:highlight w:val="yellow"/>
        </w:rPr>
        <w:t>Лудикова, Греков, 2017</w:t>
      </w:r>
      <w:r>
        <w:rPr>
          <w:rFonts w:ascii="Times New Roman" w:hAnsi="Times New Roman" w:cs="Times New Roman"/>
          <w:sz w:val="24"/>
          <w:szCs w:val="24"/>
        </w:rPr>
        <w:t xml:space="preserve">), фиксируется на территории котловины оз. Колвицкое в </w:t>
      </w:r>
      <w:commentRangeStart w:id="0"/>
      <w:r>
        <w:rPr>
          <w:rFonts w:ascii="Times New Roman" w:hAnsi="Times New Roman" w:cs="Times New Roman"/>
          <w:sz w:val="24"/>
          <w:szCs w:val="24"/>
        </w:rPr>
        <w:t>раннем голоцене</w:t>
      </w:r>
      <w:commentRangeEnd w:id="0"/>
      <w:r>
        <w:rPr>
          <w:rStyle w:val="5"/>
          <w:rFonts w:ascii="Times New Roman" w:hAnsi="Times New Roman" w:cs="Times New Roman"/>
          <w:sz w:val="24"/>
          <w:szCs w:val="24"/>
        </w:rPr>
        <w:commentReference w:id="0"/>
      </w:r>
      <w:r>
        <w:rPr>
          <w:rFonts w:ascii="Times New Roman" w:hAnsi="Times New Roman" w:cs="Times New Roman"/>
          <w:sz w:val="24"/>
          <w:szCs w:val="24"/>
        </w:rPr>
        <w:t xml:space="preserve">.   </w:t>
      </w:r>
    </w:p>
    <w:p w14:paraId="6E13D3C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Целью данного исследования была реконструкция природных обстановок и морфолитогенеза одного из ключевых участков Кольского региона в ходе дегляциации и последовавшей трансгрессии Белого моря, сформировавших современный облик рельефа Колвицкой ложбины.  </w:t>
      </w:r>
    </w:p>
    <w:p w14:paraId="2C4D8771">
      <w:pPr>
        <w:spacing w:after="0" w:line="360" w:lineRule="auto"/>
        <w:ind w:firstLine="709"/>
        <w:jc w:val="both"/>
        <w:rPr>
          <w:rFonts w:ascii="Times New Roman" w:hAnsi="Times New Roman" w:cs="Times New Roman"/>
          <w:sz w:val="24"/>
          <w:szCs w:val="24"/>
        </w:rPr>
      </w:pPr>
    </w:p>
    <w:p w14:paraId="5A2C538F">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ХАРАКТЕРИСТИКА РАЙОНА РАБОТ</w:t>
      </w:r>
    </w:p>
    <w:p w14:paraId="21EDD01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Колвицкая ложбина представляет собой субширотно ориентированное понижение, хорошо выраженное в рельефе поверхности кристаллического фундамента. Она расположена между выступами в виде низких гор Колвицких тундр на юге (до 696 м н.у.м.), Домашних Тундр на северо-западе (до 547 м н.у.м.) и Елка-Тундр на севере (до 785 м н.у.м.). Северный и южный борта ложбины прилегают к склонам этих массивов на высотах 100–130 м н.у.м. Выступы в виде низких гор представляют собой раннепротерозойские интрузии: габбро-анортозиты Кандалакшского и Колвицкого комплексов, основные гранулиты Лапландского комплекса и амфиболиты Кандалакшской толщи. В качестве вмещающих пород участвуют гранодиорито-гнейсы, гнейсы различного состава и мигматиты комплекса архейского основания. Интрузии массивов от пород комплекса основания в Колвицкой лобжбине отделяются серией разломов сбросовой и сбросо-сдвиговой кинематики (</w:t>
      </w:r>
      <w:r>
        <w:rPr>
          <w:rFonts w:ascii="Times New Roman" w:hAnsi="Times New Roman" w:cs="Times New Roman"/>
          <w:sz w:val="24"/>
          <w:szCs w:val="24"/>
          <w:highlight w:val="yellow"/>
        </w:rPr>
        <w:t>Геологическая..., 2001</w:t>
      </w:r>
      <w:r>
        <w:rPr>
          <w:rFonts w:ascii="Times New Roman" w:hAnsi="Times New Roman" w:cs="Times New Roman"/>
          <w:sz w:val="24"/>
          <w:szCs w:val="24"/>
        </w:rPr>
        <w:t xml:space="preserve">).   </w:t>
      </w:r>
    </w:p>
    <w:p w14:paraId="54736F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Длина Колвицкой ложбины достигает 25 км, ширина в западной части около 1.5 км, а в восточной части она расширяется примерно до 9 км. В настоящее время наиболее низкую западную часть ложбины с отметками до -70 м н.у.м занимает Колвицкая губа Белого моря. Тальвег восточной части ложбины занимает достаточно молодая долина р. Колвицы, с отчетливым ступенчатым продольным профилем за счет множества порогов и водопадов. По этой долине осуществляется сток из оз. Колвицкого (урез воды 58.6 м н.у.м.) в Белое море </w:t>
      </w:r>
      <w:r>
        <w:rPr>
          <w:rFonts w:ascii="Times New Roman" w:hAnsi="Times New Roman" w:cs="Times New Roman"/>
          <w:sz w:val="24"/>
          <w:szCs w:val="24"/>
          <w:highlight w:val="yellow"/>
        </w:rPr>
        <w:t>(Рис. 1</w:t>
      </w:r>
      <w:r>
        <w:rPr>
          <w:rFonts w:ascii="Times New Roman" w:hAnsi="Times New Roman" w:cs="Times New Roman"/>
          <w:sz w:val="24"/>
          <w:szCs w:val="24"/>
        </w:rPr>
        <w:t xml:space="preserve">). </w:t>
      </w:r>
    </w:p>
    <w:p w14:paraId="502B96EE">
      <w:pPr>
        <w:spacing w:after="0" w:line="360" w:lineRule="auto"/>
        <w:ind w:firstLine="709"/>
        <w:jc w:val="both"/>
        <w:rPr>
          <w:rFonts w:ascii="Times New Roman" w:hAnsi="Times New Roman" w:cs="Times New Roman"/>
          <w:sz w:val="24"/>
          <w:szCs w:val="24"/>
        </w:rPr>
      </w:pPr>
      <w:r>
        <w:drawing>
          <wp:anchor distT="0" distB="0" distL="114300" distR="114300" simplePos="0" relativeHeight="251660288" behindDoc="1" locked="0" layoutInCell="1" allowOverlap="1">
            <wp:simplePos x="0" y="0"/>
            <wp:positionH relativeFrom="column">
              <wp:align>center</wp:align>
            </wp:positionH>
            <wp:positionV relativeFrom="paragraph">
              <wp:posOffset>6985</wp:posOffset>
            </wp:positionV>
            <wp:extent cx="5934075" cy="3743325"/>
            <wp:effectExtent l="0" t="0" r="9525" b="5715"/>
            <wp:wrapTight wrapText="bothSides">
              <wp:wrapPolygon>
                <wp:start x="-35" y="0"/>
                <wp:lineTo x="-35" y="21545"/>
                <wp:lineTo x="21600" y="21545"/>
                <wp:lineTo x="21600" y="0"/>
                <wp:lineTo x="-35" y="0"/>
              </wp:wrapPolygon>
            </wp:wrapTight>
            <wp:docPr id="7" name="Изображение 8"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8" descr="Рис"/>
                    <pic:cNvPicPr>
                      <a:picLocks noChangeAspect="1"/>
                    </pic:cNvPicPr>
                  </pic:nvPicPr>
                  <pic:blipFill>
                    <a:blip r:embed="rId9"/>
                    <a:stretch>
                      <a:fillRect/>
                    </a:stretch>
                  </pic:blipFill>
                  <pic:spPr>
                    <a:xfrm>
                      <a:off x="0" y="0"/>
                      <a:ext cx="5934075" cy="3743325"/>
                    </a:xfrm>
                    <a:prstGeom prst="rect">
                      <a:avLst/>
                    </a:prstGeom>
                    <a:noFill/>
                    <a:ln>
                      <a:noFill/>
                    </a:ln>
                  </pic:spPr>
                </pic:pic>
              </a:graphicData>
            </a:graphic>
          </wp:anchor>
        </w:drawing>
      </w:r>
      <w:r>
        <w:rPr>
          <w:rFonts w:ascii="Times New Roman" w:hAnsi="Times New Roman" w:cs="Times New Roman"/>
          <w:bCs/>
          <w:sz w:val="24"/>
          <w:szCs w:val="24"/>
          <w:highlight w:val="yellow"/>
        </w:rPr>
        <w:t>Рис. 1</w:t>
      </w:r>
      <w:r>
        <w:rPr>
          <w:rFonts w:ascii="Times New Roman" w:hAnsi="Times New Roman" w:cs="Times New Roman"/>
          <w:sz w:val="24"/>
          <w:szCs w:val="24"/>
          <w:highlight w:val="yellow"/>
        </w:rPr>
        <w:t xml:space="preserve">. Района работ на Кандалакшском берегу Белого моря: 1 – граница Колвицкой ложбины; 2 – гряды ребристой морены; 3 – озы; 4 – флювиогляциальные дельты; 5 – камы; 6 – каналы стока талых вод; 7 – </w:t>
      </w:r>
      <w:r>
        <w:rPr>
          <w:rFonts w:ascii="Times New Roman" w:hAnsi="Times New Roman" w:cs="Times New Roman"/>
          <w:sz w:val="24"/>
          <w:szCs w:val="24"/>
        </w:rPr>
        <w:t xml:space="preserve">изученные разрезы. Цифрами обозначены разрезы, упоминаемые в тексте. Красным прямоугольником на врезке показан район работ, на карте </w:t>
      </w:r>
      <w:r>
        <w:rPr>
          <w:rFonts w:ascii="Times New Roman" w:hAnsi="Times New Roman" w:cs="Times New Roman"/>
          <w:sz w:val="24"/>
          <w:szCs w:val="24"/>
          <w:highlight w:val="yellow"/>
        </w:rPr>
        <w:t>–</w:t>
      </w:r>
      <w:r>
        <w:rPr>
          <w:rFonts w:ascii="Times New Roman" w:hAnsi="Times New Roman" w:cs="Times New Roman"/>
          <w:sz w:val="24"/>
          <w:szCs w:val="24"/>
        </w:rPr>
        <w:t xml:space="preserve"> положение рисунка 2. </w:t>
      </w:r>
    </w:p>
    <w:p w14:paraId="298A8C47">
      <w:pPr>
        <w:spacing w:after="0" w:line="360" w:lineRule="auto"/>
        <w:jc w:val="both"/>
        <w:rPr>
          <w:rFonts w:ascii="Times New Roman" w:hAnsi="Times New Roman" w:cs="Times New Roman"/>
          <w:sz w:val="24"/>
          <w:szCs w:val="24"/>
        </w:rPr>
      </w:pPr>
    </w:p>
    <w:p w14:paraId="01A0E87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Современный облик Колвицкой ложбины формирует грядовый и грядово-увалистый рельеф субмеердиональной и субширотной ориентировки. К первому относятся гряды длиной до нескольких сот метров, шириной до 100 м, высотой до 8–12 м (в основном меньше). Ранее их относили к конечно-моренным грядам (</w:t>
      </w:r>
      <w:r>
        <w:rPr>
          <w:rFonts w:ascii="Times New Roman" w:hAnsi="Times New Roman" w:cs="Times New Roman"/>
          <w:sz w:val="24"/>
          <w:szCs w:val="24"/>
          <w:highlight w:val="yellow"/>
          <w:lang w:val="en-US"/>
        </w:rPr>
        <w:t>Niemelja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1993</w:t>
      </w:r>
      <w:r>
        <w:rPr>
          <w:rFonts w:ascii="Times New Roman" w:hAnsi="Times New Roman" w:cs="Times New Roman"/>
          <w:sz w:val="24"/>
          <w:szCs w:val="24"/>
        </w:rPr>
        <w:t>) или ребристым моренам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2021</w:t>
      </w:r>
      <w:r>
        <w:rPr>
          <w:rFonts w:ascii="Times New Roman" w:hAnsi="Times New Roman" w:cs="Times New Roman"/>
          <w:sz w:val="24"/>
          <w:szCs w:val="24"/>
        </w:rPr>
        <w:t>). Субширотно ориентированные гряды-увалы на периферии ложбины ранее соотносились с формами ледниковой экзарации (</w:t>
      </w:r>
      <w:r>
        <w:rPr>
          <w:rFonts w:ascii="Times New Roman" w:hAnsi="Times New Roman" w:cs="Times New Roman"/>
          <w:sz w:val="24"/>
          <w:szCs w:val="24"/>
          <w:highlight w:val="yellow"/>
        </w:rPr>
        <w:t xml:space="preserve">Карта., 1989;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w:t>
      </w:r>
      <w:r>
        <w:rPr>
          <w:rFonts w:ascii="Times New Roman" w:hAnsi="Times New Roman" w:cs="Times New Roman"/>
          <w:sz w:val="24"/>
          <w:szCs w:val="24"/>
        </w:rPr>
        <w:t>1). Наиболее выразительным элементом рельефа ложбины являются системы субширотных озов, общей длиной до 10–12 км (</w:t>
      </w:r>
      <w:r>
        <w:rPr>
          <w:rFonts w:ascii="Times New Roman" w:hAnsi="Times New Roman" w:cs="Times New Roman"/>
          <w:sz w:val="24"/>
          <w:szCs w:val="24"/>
          <w:highlight w:val="yellow"/>
        </w:rPr>
        <w:t xml:space="preserve">Карта., 1989;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2021</w:t>
      </w:r>
      <w:r>
        <w:rPr>
          <w:rFonts w:ascii="Times New Roman" w:hAnsi="Times New Roman" w:cs="Times New Roman"/>
          <w:sz w:val="24"/>
          <w:szCs w:val="24"/>
        </w:rPr>
        <w:t>). Один из них (так называемый Колвицкий оз) протягивается практически непрерывно вблизи тальвега ложбины в виде гряды с одним или несколькими гребнями высотой до 15–25 м. Он заканчивается к северу от истока реки Колвица холмисто-грядовым массивом размерами 2.5×0.8 км и относительной высотой до 55 м (отметки высот до 117 м н.у.м.). Другой оз выражен в северной части ложбины и тянется вдоль долины р. Тикша. Он представляет собой часть крупной системы стока талых ледниковых вод, которая тянется из района севернее Лувеньгских Тундр к Лувеньгским озерам, а далее к Колвицкой ложбине, в северо-восточной части которой эта система соединяется с радиальным озом Вересельга (Р</w:t>
      </w:r>
      <w:r>
        <w:rPr>
          <w:rFonts w:ascii="Times New Roman" w:hAnsi="Times New Roman" w:cs="Times New Roman"/>
          <w:sz w:val="24"/>
          <w:szCs w:val="24"/>
          <w:highlight w:val="yellow"/>
        </w:rPr>
        <w:t>ис. 1</w:t>
      </w:r>
      <w:r>
        <w:rPr>
          <w:rFonts w:ascii="Times New Roman" w:hAnsi="Times New Roman" w:cs="Times New Roman"/>
          <w:sz w:val="24"/>
          <w:szCs w:val="24"/>
        </w:rPr>
        <w:t xml:space="preserve">). Еще одна система стока талых вод прослеживается вдоль северного склона Домашних Тундр (оз Тикша </w:t>
      </w:r>
      <w:r>
        <w:rPr>
          <w:rFonts w:ascii="Times New Roman" w:hAnsi="Times New Roman" w:cs="Times New Roman"/>
          <w:sz w:val="24"/>
          <w:szCs w:val="24"/>
          <w:highlight w:val="yellow"/>
        </w:rPr>
        <w:t>на рис. 1</w:t>
      </w:r>
      <w:r>
        <w:rPr>
          <w:rFonts w:ascii="Times New Roman" w:hAnsi="Times New Roman" w:cs="Times New Roman"/>
          <w:sz w:val="24"/>
          <w:szCs w:val="24"/>
        </w:rPr>
        <w:t xml:space="preserve">), она оканчивается в северо-западной части Колвицкой ложбины. В восточной части ложбины  в акватории Колвицкого озера хорошо выряжена гряда юго-восточного простирания – радиальный оз Вересельга. К нему в этом районе примыкают участки с грядовым и холмистым рельефом.  </w:t>
      </w:r>
    </w:p>
    <w:p w14:paraId="16B0F876">
      <w:pPr>
        <w:spacing w:after="0" w:line="360" w:lineRule="auto"/>
        <w:ind w:firstLine="709"/>
        <w:jc w:val="both"/>
        <w:rPr>
          <w:rFonts w:ascii="Times New Roman" w:hAnsi="Times New Roman" w:cs="Times New Roman"/>
          <w:sz w:val="24"/>
          <w:szCs w:val="24"/>
        </w:rPr>
      </w:pPr>
    </w:p>
    <w:p w14:paraId="5E2519BE">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МАТЕРИАЛЫ И МЕТОДЫ</w:t>
      </w:r>
    </w:p>
    <w:p w14:paraId="3C6433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Полевые исследования проводились в 2017–2023 годах, и включали маршрутное обследование комплексов ледниковых и морских образований в пределах Колвицкой ложбины, литостратиграфическое изучение разрезов рыхлых отложений, отбор образцов для проведения литологического, малакофаунистического и диатомового (через 5 см) анализов, а также для проведения радиоуглеродного и оптико-люминесцентного (ОСЛ) датирования. Для отбора донных отложений из озёр проводилось их бурение с плота буром </w:t>
      </w:r>
      <w:r>
        <w:rPr>
          <w:rFonts w:ascii="Times New Roman" w:hAnsi="Times New Roman" w:cs="Times New Roman"/>
          <w:sz w:val="24"/>
          <w:szCs w:val="24"/>
          <w:lang w:val="en-GB"/>
        </w:rPr>
        <w:t>Eijkelcamp</w:t>
      </w:r>
      <w:r>
        <w:rPr>
          <w:rFonts w:ascii="Times New Roman" w:hAnsi="Times New Roman" w:cs="Times New Roman"/>
          <w:sz w:val="24"/>
          <w:szCs w:val="24"/>
        </w:rPr>
        <w:t xml:space="preserve">. Планово-высотная привязка форм рельефа и осадочных толщ проводилась с помощью ГНСС-ровера </w:t>
      </w:r>
      <w:r>
        <w:rPr>
          <w:rFonts w:ascii="Times New Roman" w:hAnsi="Times New Roman" w:cs="Times New Roman"/>
          <w:sz w:val="24"/>
          <w:szCs w:val="24"/>
          <w:lang w:val="en-GB"/>
        </w:rPr>
        <w:t>PrinCe</w:t>
      </w:r>
      <w:r>
        <w:rPr>
          <w:rFonts w:ascii="Times New Roman" w:hAnsi="Times New Roman" w:cs="Times New Roman"/>
          <w:sz w:val="24"/>
          <w:szCs w:val="24"/>
        </w:rPr>
        <w:t xml:space="preserve"> </w:t>
      </w:r>
      <w:r>
        <w:rPr>
          <w:rFonts w:ascii="Times New Roman" w:hAnsi="Times New Roman" w:cs="Times New Roman"/>
          <w:sz w:val="24"/>
          <w:szCs w:val="24"/>
          <w:lang w:val="en-GB"/>
        </w:rPr>
        <w:t>i</w:t>
      </w:r>
      <w:r>
        <w:rPr>
          <w:rFonts w:ascii="Times New Roman" w:hAnsi="Times New Roman" w:cs="Times New Roman"/>
          <w:sz w:val="24"/>
          <w:szCs w:val="24"/>
        </w:rPr>
        <w:t xml:space="preserve">50 в режиме </w:t>
      </w:r>
      <w:r>
        <w:rPr>
          <w:rFonts w:ascii="Times New Roman" w:hAnsi="Times New Roman" w:cs="Times New Roman"/>
          <w:sz w:val="24"/>
          <w:szCs w:val="24"/>
          <w:lang w:val="en-GB"/>
        </w:rPr>
        <w:t>RTK</w:t>
      </w:r>
      <w:r>
        <w:rPr>
          <w:rFonts w:ascii="Times New Roman" w:hAnsi="Times New Roman" w:cs="Times New Roman"/>
          <w:sz w:val="24"/>
          <w:szCs w:val="24"/>
        </w:rPr>
        <w:t xml:space="preserve">, а для построения цифровой модели рельефа применялась аэрофотосъёмка с квадрокоптера </w:t>
      </w:r>
      <w:r>
        <w:rPr>
          <w:rFonts w:ascii="Times New Roman" w:hAnsi="Times New Roman" w:cs="Times New Roman"/>
          <w:sz w:val="24"/>
          <w:szCs w:val="24"/>
          <w:lang w:val="en-GB"/>
        </w:rPr>
        <w:t>DJI</w:t>
      </w:r>
      <w:r>
        <w:rPr>
          <w:rFonts w:ascii="Times New Roman" w:hAnsi="Times New Roman" w:cs="Times New Roman"/>
          <w:sz w:val="24"/>
          <w:szCs w:val="24"/>
        </w:rPr>
        <w:t xml:space="preserve"> </w:t>
      </w:r>
      <w:r>
        <w:rPr>
          <w:rFonts w:ascii="Times New Roman" w:hAnsi="Times New Roman" w:cs="Times New Roman"/>
          <w:sz w:val="24"/>
          <w:szCs w:val="24"/>
          <w:lang w:val="en-GB"/>
        </w:rPr>
        <w:t>Phantom</w:t>
      </w:r>
      <w:r>
        <w:rPr>
          <w:rFonts w:ascii="Times New Roman" w:hAnsi="Times New Roman" w:cs="Times New Roman"/>
          <w:sz w:val="24"/>
          <w:szCs w:val="24"/>
        </w:rPr>
        <w:t xml:space="preserve"> 4</w:t>
      </w:r>
      <w:r>
        <w:rPr>
          <w:rFonts w:ascii="Times New Roman" w:hAnsi="Times New Roman" w:cs="Times New Roman"/>
          <w:sz w:val="24"/>
          <w:szCs w:val="24"/>
          <w:lang w:val="en-GB"/>
        </w:rPr>
        <w:t>Pro</w:t>
      </w:r>
      <w:r>
        <w:rPr>
          <w:rFonts w:ascii="Times New Roman" w:hAnsi="Times New Roman" w:cs="Times New Roman"/>
          <w:sz w:val="24"/>
          <w:szCs w:val="24"/>
        </w:rPr>
        <w:t xml:space="preserve"> </w:t>
      </w:r>
      <w:r>
        <w:rPr>
          <w:rFonts w:ascii="Times New Roman" w:hAnsi="Times New Roman" w:cs="Times New Roman"/>
          <w:sz w:val="24"/>
          <w:szCs w:val="24"/>
          <w:lang w:val="en-GB"/>
        </w:rPr>
        <w:t>V</w:t>
      </w:r>
      <w:r>
        <w:rPr>
          <w:rFonts w:ascii="Times New Roman" w:hAnsi="Times New Roman" w:cs="Times New Roman"/>
          <w:sz w:val="24"/>
          <w:szCs w:val="24"/>
        </w:rPr>
        <w:t xml:space="preserve">2.0, с использованием сети наземных маркеров.  </w:t>
      </w:r>
    </w:p>
    <w:p w14:paraId="74F0D5FE">
      <w:pPr>
        <w:tabs>
          <w:tab w:val="left" w:pos="8789"/>
        </w:tabs>
        <w:spacing w:after="0" w:line="360" w:lineRule="auto"/>
        <w:ind w:firstLine="709"/>
        <w:jc w:val="both"/>
        <w:rPr>
          <w:rFonts w:ascii="Times New Roman" w:hAnsi="Times New Roman"/>
          <w:sz w:val="24"/>
          <w:szCs w:val="24"/>
        </w:rPr>
      </w:pPr>
      <w:r>
        <w:rPr>
          <w:rFonts w:ascii="Times New Roman" w:hAnsi="Times New Roman"/>
          <w:sz w:val="24"/>
          <w:szCs w:val="24"/>
          <w:lang w:val="be-BY"/>
        </w:rPr>
        <w:t>В ходе работ в Колвицкой ложбине было обследовано 11 разрезов (карьеры, береговые уступы, придорожные выемки) ледниковых, водно-ледниковых и морских отложений (</w:t>
      </w:r>
      <w:r>
        <w:rPr>
          <w:rFonts w:ascii="Times New Roman" w:hAnsi="Times New Roman"/>
          <w:sz w:val="24"/>
          <w:szCs w:val="24"/>
          <w:highlight w:val="yellow"/>
          <w:lang w:val="be-BY"/>
        </w:rPr>
        <w:t>Рис. 1</w:t>
      </w:r>
      <w:r>
        <w:rPr>
          <w:rFonts w:ascii="Times New Roman" w:hAnsi="Times New Roman"/>
          <w:sz w:val="24"/>
          <w:szCs w:val="24"/>
          <w:lang w:val="be-BY"/>
        </w:rPr>
        <w:t xml:space="preserve">). </w:t>
      </w:r>
      <w:r>
        <w:rPr>
          <w:rFonts w:ascii="Times New Roman" w:hAnsi="Times New Roman"/>
          <w:sz w:val="24"/>
          <w:szCs w:val="24"/>
        </w:rPr>
        <w:t xml:space="preserve">Проводилось определение структурных и текстурных характеристик выделенных в разрезах разностей осадков, а цвет отложений определялся при помощи колориметрической системы </w:t>
      </w:r>
      <w:r>
        <w:rPr>
          <w:rFonts w:ascii="Times New Roman" w:hAnsi="Times New Roman"/>
          <w:sz w:val="24"/>
          <w:szCs w:val="24"/>
          <w:lang w:val="en-US"/>
        </w:rPr>
        <w:t>Munsell</w:t>
      </w:r>
      <w:r>
        <w:rPr>
          <w:rFonts w:ascii="Times New Roman" w:hAnsi="Times New Roman"/>
          <w:sz w:val="24"/>
          <w:szCs w:val="24"/>
        </w:rPr>
        <w:t xml:space="preserve"> </w:t>
      </w:r>
      <w:r>
        <w:rPr>
          <w:rFonts w:ascii="Times New Roman" w:hAnsi="Times New Roman"/>
          <w:sz w:val="24"/>
          <w:szCs w:val="24"/>
          <w:lang w:val="en-US"/>
        </w:rPr>
        <w:t>Soil</w:t>
      </w:r>
      <w:r>
        <w:rPr>
          <w:rFonts w:ascii="Times New Roman" w:hAnsi="Times New Roman"/>
          <w:sz w:val="24"/>
          <w:szCs w:val="24"/>
        </w:rPr>
        <w:t xml:space="preserve"> </w:t>
      </w:r>
      <w:r>
        <w:rPr>
          <w:rFonts w:ascii="Times New Roman" w:hAnsi="Times New Roman"/>
          <w:sz w:val="24"/>
          <w:szCs w:val="24"/>
          <w:lang w:val="en-US"/>
        </w:rPr>
        <w:t>Color</w:t>
      </w:r>
      <w:r>
        <w:rPr>
          <w:rFonts w:ascii="Times New Roman" w:hAnsi="Times New Roman"/>
          <w:sz w:val="24"/>
          <w:szCs w:val="24"/>
        </w:rPr>
        <w:t xml:space="preserve"> </w:t>
      </w:r>
      <w:r>
        <w:rPr>
          <w:rFonts w:ascii="Times New Roman" w:hAnsi="Times New Roman"/>
          <w:sz w:val="24"/>
          <w:szCs w:val="24"/>
          <w:lang w:val="en-US"/>
        </w:rPr>
        <w:t>Charts</w:t>
      </w:r>
      <w:commentRangeStart w:id="1"/>
      <w:r>
        <w:rPr>
          <w:rFonts w:ascii="Times New Roman" w:hAnsi="Times New Roman"/>
          <w:sz w:val="24"/>
          <w:szCs w:val="24"/>
        </w:rPr>
        <w:t xml:space="preserve">. Детальное исследование текстуры ледниковых отложений производилось с помощью структурного метода исследований. </w:t>
      </w:r>
      <w:commentRangeEnd w:id="1"/>
      <w:r>
        <w:rPr>
          <w:rStyle w:val="5"/>
          <w:rFonts w:ascii="Times New Roman" w:hAnsi="Times New Roman"/>
          <w:sz w:val="24"/>
          <w:szCs w:val="24"/>
        </w:rPr>
        <w:commentReference w:id="1"/>
      </w:r>
      <w:r>
        <w:rPr>
          <w:rFonts w:ascii="Times New Roman" w:hAnsi="Times New Roman"/>
          <w:sz w:val="24"/>
          <w:szCs w:val="24"/>
        </w:rPr>
        <w:t>На разрезах ледниковых отложений производились массовые замеры плоскостных (плоскости сланцеватости, границы линз, блоков) и линейных (длинные оси галек и валунов) элементов (</w:t>
      </w:r>
      <w:r>
        <w:rPr>
          <w:rFonts w:ascii="Times New Roman" w:hAnsi="Times New Roman"/>
          <w:sz w:val="24"/>
          <w:szCs w:val="24"/>
          <w:highlight w:val="yellow"/>
        </w:rPr>
        <w:t xml:space="preserve">Аболтиньш, 1989; </w:t>
      </w:r>
      <w:r>
        <w:rPr>
          <w:rFonts w:ascii="Times New Roman" w:hAnsi="Times New Roman"/>
          <w:sz w:val="24"/>
          <w:szCs w:val="24"/>
          <w:highlight w:val="yellow"/>
          <w:lang w:val="en-US"/>
        </w:rPr>
        <w:t>Benn</w:t>
      </w:r>
      <w:r>
        <w:rPr>
          <w:rFonts w:ascii="Times New Roman" w:hAnsi="Times New Roman"/>
          <w:sz w:val="24"/>
          <w:szCs w:val="24"/>
          <w:highlight w:val="yellow"/>
        </w:rPr>
        <w:t>, 2013</w:t>
      </w:r>
      <w:r>
        <w:rPr>
          <w:rFonts w:ascii="Times New Roman" w:hAnsi="Times New Roman"/>
          <w:sz w:val="24"/>
          <w:szCs w:val="24"/>
        </w:rPr>
        <w:t xml:space="preserve">), по 50–100 замеров. Обработка полученных результатов проводилась при помощи программы </w:t>
      </w:r>
      <w:r>
        <w:rPr>
          <w:rFonts w:ascii="Times New Roman" w:hAnsi="Times New Roman"/>
          <w:sz w:val="24"/>
          <w:szCs w:val="24"/>
          <w:lang w:val="en-US"/>
        </w:rPr>
        <w:t>OpenStereo</w:t>
      </w:r>
      <w:r>
        <w:rPr>
          <w:rFonts w:ascii="Times New Roman" w:hAnsi="Times New Roman"/>
          <w:sz w:val="24"/>
          <w:szCs w:val="24"/>
        </w:rPr>
        <w:t xml:space="preserve"> 0.1.2, структурные диаграммы строились на нижней полусфере равноплощадной сетки Шмидта. Полученные результаты позволили реконструировать направления движения ледникового покрова, наличие сжатия или растяжения материала, перемещаемого в субгляциальных условиях. Уточнение текстуры флювиогляциальных отложений производилось при помощи определения азимутов и углов падения слоистости, что позволило реконструировать направления течения потоков талых ледниковых вод (</w:t>
      </w:r>
      <w:r>
        <w:rPr>
          <w:rFonts w:ascii="Times New Roman" w:hAnsi="Times New Roman"/>
          <w:sz w:val="24"/>
          <w:szCs w:val="24"/>
          <w:highlight w:val="yellow"/>
        </w:rPr>
        <w:t>Аболтиньш, 1989</w:t>
      </w:r>
      <w:r>
        <w:rPr>
          <w:rFonts w:ascii="Times New Roman" w:hAnsi="Times New Roman"/>
          <w:sz w:val="24"/>
          <w:szCs w:val="24"/>
        </w:rPr>
        <w:t xml:space="preserve">). </w:t>
      </w:r>
    </w:p>
    <w:p w14:paraId="7F1C480B">
      <w:pPr>
        <w:tabs>
          <w:tab w:val="left" w:pos="8789"/>
        </w:tabs>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В ходе полевых работ проводилось определение длины, высоты, крутизны склонов, ориентировки, ширины вершинной части и гребней гряд ледникового рельефа. Через отдельные формы рельефа проводились нивелирные ходы. Оценка соответствия установленных в поле морфометрических характеристик и изображения выполнялась на цифровой модели рельефа </w:t>
      </w:r>
      <w:r>
        <w:rPr>
          <w:rFonts w:ascii="Times New Roman" w:hAnsi="Times New Roman"/>
          <w:sz w:val="24"/>
          <w:szCs w:val="24"/>
          <w:lang w:val="en-US"/>
        </w:rPr>
        <w:t>ArcticDEM</w:t>
      </w:r>
      <w:r>
        <w:rPr>
          <w:rFonts w:ascii="Times New Roman" w:hAnsi="Times New Roman"/>
          <w:sz w:val="24"/>
          <w:szCs w:val="24"/>
        </w:rPr>
        <w:t xml:space="preserve"> разрешением 2 м </w:t>
      </w:r>
      <w:r>
        <w:rPr>
          <w:rFonts w:ascii="Times New Roman" w:hAnsi="Times New Roman"/>
          <w:sz w:val="24"/>
          <w:szCs w:val="24"/>
          <w:highlight w:val="yellow"/>
        </w:rPr>
        <w:t>(</w:t>
      </w:r>
      <w:r>
        <w:rPr>
          <w:rFonts w:ascii="Times New Roman" w:hAnsi="Times New Roman"/>
          <w:sz w:val="24"/>
          <w:szCs w:val="24"/>
          <w:highlight w:val="yellow"/>
          <w:lang w:val="en-US"/>
        </w:rPr>
        <w:t>Porther</w:t>
      </w:r>
      <w:r>
        <w:rPr>
          <w:rFonts w:ascii="Times New Roman" w:hAnsi="Times New Roman"/>
          <w:sz w:val="24"/>
          <w:szCs w:val="24"/>
          <w:highlight w:val="yellow"/>
        </w:rPr>
        <w:t xml:space="preserve"> </w:t>
      </w:r>
      <w:r>
        <w:rPr>
          <w:rFonts w:ascii="Times New Roman" w:hAnsi="Times New Roman"/>
          <w:sz w:val="24"/>
          <w:szCs w:val="24"/>
          <w:highlight w:val="yellow"/>
          <w:lang w:val="en-US"/>
        </w:rPr>
        <w:t>et</w:t>
      </w:r>
      <w:r>
        <w:rPr>
          <w:rFonts w:ascii="Times New Roman" w:hAnsi="Times New Roman"/>
          <w:sz w:val="24"/>
          <w:szCs w:val="24"/>
          <w:highlight w:val="yellow"/>
        </w:rPr>
        <w:t xml:space="preserve"> </w:t>
      </w:r>
      <w:r>
        <w:rPr>
          <w:rFonts w:ascii="Times New Roman" w:hAnsi="Times New Roman"/>
          <w:sz w:val="24"/>
          <w:szCs w:val="24"/>
          <w:highlight w:val="yellow"/>
          <w:lang w:val="en-US"/>
        </w:rPr>
        <w:t>al</w:t>
      </w:r>
      <w:r>
        <w:rPr>
          <w:rFonts w:ascii="Times New Roman" w:hAnsi="Times New Roman"/>
          <w:sz w:val="24"/>
          <w:szCs w:val="24"/>
          <w:highlight w:val="yellow"/>
        </w:rPr>
        <w:t>, 2018</w:t>
      </w:r>
      <w:r>
        <w:rPr>
          <w:rFonts w:ascii="Times New Roman" w:hAnsi="Times New Roman"/>
          <w:sz w:val="24"/>
          <w:szCs w:val="24"/>
        </w:rPr>
        <w:t>). Морфометрические характеристики позволяли достаточно надежно отличать ледниково-аккумулятивные формы рельефа от выступов поверхности кристаллического фундамента. Аккумулятивные формы резко отличаются по средней большей крутизне склонов, средней меньшей длине склонов, на порядок большим значением холмистости (количество вершин на 1 км</w:t>
      </w:r>
      <w:r>
        <w:rPr>
          <w:rFonts w:ascii="Times New Roman" w:hAnsi="Times New Roman"/>
          <w:sz w:val="24"/>
          <w:szCs w:val="24"/>
          <w:vertAlign w:val="superscript"/>
        </w:rPr>
        <w:t>2</w:t>
      </w:r>
      <w:r>
        <w:rPr>
          <w:rFonts w:ascii="Times New Roman" w:hAnsi="Times New Roman"/>
          <w:sz w:val="24"/>
          <w:szCs w:val="24"/>
        </w:rPr>
        <w:t xml:space="preserve">) и коэффициентом вертикального расчленения (соотношение крутизны склона к его высоте) 0.5–1.2 при аналогичном показателе для поднятий фундамента в 0.02–0.1. </w:t>
      </w:r>
    </w:p>
    <w:p w14:paraId="49E3C96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Для реконструкции условий осадконакопления субаквальных отложений проводился их диатомовый анализ. Подготовка препаратов включала обработку 30-% Н</w:t>
      </w:r>
      <w:r>
        <w:rPr>
          <w:rFonts w:ascii="Times New Roman" w:hAnsi="Times New Roman" w:cs="Times New Roman"/>
          <w:sz w:val="24"/>
          <w:szCs w:val="24"/>
          <w:vertAlign w:val="subscript"/>
        </w:rPr>
        <w:t>2</w:t>
      </w:r>
      <w:r>
        <w:rPr>
          <w:rFonts w:ascii="Times New Roman" w:hAnsi="Times New Roman" w:cs="Times New Roman"/>
          <w:sz w:val="24"/>
          <w:szCs w:val="24"/>
        </w:rPr>
        <w:t>О</w:t>
      </w:r>
      <w:r>
        <w:rPr>
          <w:rFonts w:ascii="Times New Roman" w:hAnsi="Times New Roman" w:cs="Times New Roman"/>
          <w:sz w:val="24"/>
          <w:szCs w:val="24"/>
          <w:vertAlign w:val="subscript"/>
        </w:rPr>
        <w:t>2</w:t>
      </w:r>
      <w:r>
        <w:rPr>
          <w:rFonts w:ascii="Times New Roman" w:hAnsi="Times New Roman" w:cs="Times New Roman"/>
          <w:sz w:val="24"/>
          <w:szCs w:val="24"/>
        </w:rPr>
        <w:t xml:space="preserve"> для дезинтеграции осадка и удаления органического вещества и, для разреза 1295, разделение минеральной фракции с помощью тяжелой жидкости ГПС-В. Постоянные препараты приготовлены с использованием смолы Naphrax c индексом рефракции 1.68. В каждом образце в световом микроскопе Axiostar Plus (Zeiss) при увеличении ×1000 раз определялись до вида 300-400 створок. Также подсчитывалось суммарное количество других кремниевых микрофоссилий, включая цисты золотистых водорослей и эндоскелеты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w:t>
      </w:r>
    </w:p>
    <w:p w14:paraId="73DD10D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реконструкции хода морской позднеледниковой трансгрессии применялся </w:t>
      </w:r>
      <w:commentRangeStart w:id="2"/>
      <w:r>
        <w:rPr>
          <w:rFonts w:ascii="Times New Roman" w:hAnsi="Times New Roman" w:cs="Times New Roman"/>
          <w:sz w:val="24"/>
          <w:szCs w:val="24"/>
        </w:rPr>
        <w:t xml:space="preserve">малакофаунистический </w:t>
      </w:r>
      <w:commentRangeEnd w:id="2"/>
      <w:r>
        <w:commentReference w:id="2"/>
      </w:r>
      <w:r>
        <w:rPr>
          <w:rFonts w:ascii="Times New Roman" w:hAnsi="Times New Roman" w:cs="Times New Roman"/>
          <w:sz w:val="24"/>
          <w:szCs w:val="24"/>
        </w:rPr>
        <w:t xml:space="preserve">анализ. Для этого сначала проводился сбор фоссилий (эуфоссилий и ихнофоссилий) морских беспозвоночных из изученных разрезов: после расчистки рыхлых отложений отмечались визуально выраженные фоссилии, положение которых фиксировали на схеме разреза. Для более детального анализа образцы извлекали вместе с окружающим грунтом, закрепляли цианакрилатным клеем и транспортировали в лабораторию. Для определения видовой принадлежности фоссилий проводили сравнение образцов с рецентными формами беломорской макрофауны.  </w:t>
      </w:r>
    </w:p>
    <w:p w14:paraId="5994739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отнесения фоссилий к наиболее вероятному виду, проводили поиск данных о связи рецентного вида с глубиной. Для этого с помощью пакета “</w:t>
      </w:r>
      <w:r>
        <w:rPr>
          <w:rFonts w:ascii="Times New Roman" w:hAnsi="Times New Roman" w:cs="Times New Roman"/>
          <w:sz w:val="24"/>
          <w:szCs w:val="24"/>
          <w:lang w:val="en-US"/>
        </w:rPr>
        <w:t>robis</w:t>
      </w:r>
      <w:r>
        <w:rPr>
          <w:rFonts w:ascii="Times New Roman" w:hAnsi="Times New Roman" w:cs="Times New Roman"/>
          <w:sz w:val="24"/>
          <w:szCs w:val="24"/>
        </w:rPr>
        <w:t>” [</w:t>
      </w:r>
      <w:commentRangeStart w:id="3"/>
      <w:r>
        <w:rPr>
          <w:rFonts w:ascii="Times New Roman" w:hAnsi="Times New Roman" w:cs="Times New Roman"/>
          <w:sz w:val="24"/>
          <w:szCs w:val="24"/>
          <w:highlight w:val="yellow"/>
        </w:rPr>
        <w:t>ссылка 13</w:t>
      </w:r>
      <w:commentRangeEnd w:id="3"/>
      <w:r>
        <w:commentReference w:id="3"/>
      </w:r>
      <w:r>
        <w:rPr>
          <w:rFonts w:hint="default" w:ascii="Times New Roman" w:hAnsi="Times New Roman" w:cs="Times New Roman"/>
          <w:sz w:val="24"/>
          <w:szCs w:val="24"/>
          <w:highlight w:val="yellow"/>
          <w:lang w:val="en-US"/>
        </w:rPr>
        <w:t xml:space="preserve"> </w:t>
      </w:r>
      <w:r>
        <w:rPr>
          <w:rFonts w:hint="default"/>
        </w:rPr>
        <w:t>Provoost, Bosch</w:t>
      </w:r>
      <w:r>
        <w:rPr>
          <w:rFonts w:hint="default"/>
          <w:lang w:val="en-US"/>
        </w:rPr>
        <w:t>, 2022</w:t>
      </w:r>
      <w:r>
        <w:rPr>
          <w:rFonts w:ascii="Times New Roman" w:hAnsi="Times New Roman" w:cs="Times New Roman"/>
          <w:sz w:val="24"/>
          <w:szCs w:val="24"/>
        </w:rPr>
        <w:t xml:space="preserve">] были сделаны запросы в Ocean Biodiversity Information System (OBIS). Из полученных данных были отфильтрованы только локации из Северного Ледовитого Океана. </w:t>
      </w:r>
      <w:commentRangeStart w:id="4"/>
      <w:r>
        <w:rPr>
          <w:rFonts w:ascii="Times New Roman" w:hAnsi="Times New Roman" w:cs="Times New Roman"/>
          <w:sz w:val="24"/>
          <w:szCs w:val="24"/>
        </w:rPr>
        <w:t>Для каждого таксона ранга вида были получены значения глубины, на которой данный вид был отмечен в запросе из OB</w:t>
      </w:r>
      <w:r>
        <w:rPr>
          <w:rFonts w:ascii="Times New Roman" w:hAnsi="Times New Roman" w:cs="Times New Roman"/>
          <w:sz w:val="24"/>
          <w:szCs w:val="24"/>
          <w:lang w:val="en-US"/>
        </w:rPr>
        <w:t>IS</w:t>
      </w:r>
      <w:r>
        <w:rPr>
          <w:rFonts w:ascii="Times New Roman" w:hAnsi="Times New Roman" w:cs="Times New Roman"/>
          <w:sz w:val="24"/>
          <w:szCs w:val="24"/>
        </w:rPr>
        <w:t xml:space="preserve">. Центральная тенденция в полученном ряду значений глубины была охарактеризована медианой.  </w:t>
      </w:r>
      <w:commentRangeEnd w:id="4"/>
      <w:r>
        <w:commentReference w:id="4"/>
      </w:r>
    </w:p>
    <w:p w14:paraId="7690F081">
      <w:pPr>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Определение возраста проводилось при помощи оптико-люминесцентного (ОСЛ) и радиоуглеродного датирования. Образцы для ОСЛ-датирования были отобраны в светонепроницаемые пластиковые трубы. </w:t>
      </w:r>
      <w:r>
        <w:rPr>
          <w:rFonts w:ascii="Times New Roman" w:hAnsi="Times New Roman"/>
          <w:sz w:val="24"/>
        </w:rPr>
        <w:t>Датирование образцов (</w:t>
      </w:r>
      <w:r>
        <w:rPr>
          <w:rFonts w:ascii="Times New Roman" w:hAnsi="Times New Roman"/>
          <w:sz w:val="24"/>
          <w:highlight w:val="yellow"/>
        </w:rPr>
        <w:t>Табл. 1</w:t>
      </w:r>
      <w:r>
        <w:rPr>
          <w:rFonts w:ascii="Times New Roman" w:hAnsi="Times New Roman"/>
          <w:sz w:val="24"/>
        </w:rPr>
        <w:t xml:space="preserve">) выполнено в лаборатории ОСЛ ФГБУ «Институт Карпинского» (Санкт-Петербург). </w:t>
      </w:r>
      <w:r>
        <w:rPr>
          <w:rFonts w:ascii="Times New Roman" w:hAnsi="Times New Roman" w:cs="NewtonC"/>
          <w:sz w:val="24"/>
          <w:szCs w:val="24"/>
        </w:rPr>
        <w:t xml:space="preserve">Активности радионуклидов определялись на сверхнизкофоновом гамма-спектрометре с детектором на основе особо чистого германия Canberra BE3825 после герметизации образцов воском и выдержки в течение 20 дней. </w:t>
      </w:r>
      <w:r>
        <w:rPr>
          <w:rFonts w:ascii="Times New Roman" w:hAnsi="Times New Roman"/>
          <w:sz w:val="24"/>
        </w:rPr>
        <w:t>Для выделения зёрен кварца фракции 180–250 мкм применялась стандартная пробоподготовка (</w:t>
      </w:r>
      <w:r>
        <w:rPr>
          <w:rFonts w:ascii="Times New Roman" w:hAnsi="Times New Roman"/>
          <w:sz w:val="24"/>
          <w:highlight w:val="yellow"/>
        </w:rPr>
        <w:t>ссылка 14).</w:t>
      </w:r>
      <w:r>
        <w:rPr>
          <w:rFonts w:ascii="Times New Roman" w:hAnsi="Times New Roman"/>
          <w:sz w:val="24"/>
        </w:rPr>
        <w:t xml:space="preserve">  Эквивалентные дозы в пробах измерены на </w:t>
      </w:r>
      <w:r>
        <w:rPr>
          <w:rFonts w:ascii="Times New Roman" w:hAnsi="Times New Roman" w:cs="NewtonC"/>
          <w:sz w:val="24"/>
          <w:szCs w:val="24"/>
        </w:rPr>
        <w:t>ТЛ/ОСЛ-ридере Ris</w:t>
      </w:r>
      <w:r>
        <w:rPr>
          <w:rFonts w:ascii="Times New Roman" w:hAnsi="Times New Roman"/>
          <w:sz w:val="24"/>
          <w:szCs w:val="24"/>
        </w:rPr>
        <w:t xml:space="preserve">ø </w:t>
      </w:r>
      <w:r>
        <w:rPr>
          <w:rFonts w:ascii="Times New Roman" w:hAnsi="Times New Roman" w:cs="NewtonC"/>
          <w:sz w:val="24"/>
          <w:szCs w:val="24"/>
        </w:rPr>
        <w:t xml:space="preserve">DA-20 C/D с применением </w:t>
      </w:r>
      <w:r>
        <w:rPr>
          <w:rFonts w:ascii="Times New Roman" w:hAnsi="Times New Roman" w:cs="NewtonC"/>
          <w:sz w:val="24"/>
          <w:szCs w:val="24"/>
          <w:lang w:val="en-US"/>
        </w:rPr>
        <w:t>SAR</w:t>
      </w:r>
      <w:r>
        <w:rPr>
          <w:rFonts w:ascii="Times New Roman" w:hAnsi="Times New Roman" w:cs="NewtonC"/>
          <w:sz w:val="24"/>
          <w:szCs w:val="24"/>
        </w:rPr>
        <w:t>-протокола (</w:t>
      </w:r>
      <w:r>
        <w:rPr>
          <w:rFonts w:ascii="Times New Roman" w:hAnsi="Times New Roman" w:cs="NewtonC"/>
          <w:sz w:val="24"/>
          <w:szCs w:val="24"/>
          <w:highlight w:val="yellow"/>
        </w:rPr>
        <w:t>ссылка 15</w:t>
      </w:r>
      <w:r>
        <w:rPr>
          <w:rFonts w:ascii="Times New Roman" w:hAnsi="Times New Roman" w:cs="NewtonC"/>
          <w:sz w:val="24"/>
          <w:szCs w:val="24"/>
        </w:rPr>
        <w:t>). Мощности дозы рассчитаны по стандартной методике (</w:t>
      </w:r>
      <w:r>
        <w:rPr>
          <w:rFonts w:ascii="Times New Roman" w:hAnsi="Times New Roman" w:cs="NewtonC"/>
          <w:sz w:val="24"/>
          <w:szCs w:val="24"/>
          <w:highlight w:val="yellow"/>
        </w:rPr>
        <w:t>ссылка 16</w:t>
      </w:r>
      <w:r>
        <w:rPr>
          <w:rFonts w:ascii="Times New Roman" w:hAnsi="Times New Roman" w:cs="NewtonC"/>
          <w:sz w:val="24"/>
          <w:szCs w:val="24"/>
        </w:rPr>
        <w:t xml:space="preserve">). Предполагалось, что средняя влажность за период захоронения составляла 95% от величины водонасыщения.  </w:t>
      </w:r>
      <w:r>
        <w:rPr>
          <w:rFonts w:ascii="Times New Roman" w:hAnsi="Times New Roman"/>
          <w:sz w:val="24"/>
          <w:szCs w:val="24"/>
        </w:rPr>
        <w:t>ОСЛ-даты (</w:t>
      </w:r>
      <w:r>
        <w:rPr>
          <w:rFonts w:ascii="Times New Roman" w:hAnsi="Times New Roman"/>
          <w:sz w:val="24"/>
          <w:szCs w:val="24"/>
          <w:highlight w:val="yellow"/>
        </w:rPr>
        <w:t>Табл. 1</w:t>
      </w:r>
      <w:r>
        <w:rPr>
          <w:rFonts w:ascii="Times New Roman" w:hAnsi="Times New Roman"/>
          <w:sz w:val="24"/>
          <w:szCs w:val="24"/>
        </w:rPr>
        <w:t>) рассчитаны как отношения эквивалентных доз к соответствующим мощностям дозы (</w:t>
      </w:r>
      <w:r>
        <w:rPr>
          <w:rFonts w:ascii="Times New Roman" w:hAnsi="Times New Roman"/>
          <w:sz w:val="24"/>
          <w:szCs w:val="24"/>
          <w:highlight w:val="yellow"/>
        </w:rPr>
        <w:t>ссылка 17</w:t>
      </w:r>
      <w:r>
        <w:rPr>
          <w:rFonts w:ascii="Times New Roman" w:hAnsi="Times New Roman"/>
          <w:sz w:val="24"/>
          <w:szCs w:val="24"/>
        </w:rPr>
        <w:t xml:space="preserve">). </w:t>
      </w:r>
    </w:p>
    <w:p w14:paraId="4B054E2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Радиоуглеродное датирование образцов раковин моллюсков, торфа и сапропеля выполнялось в лаборатории геохимии изотопов и геохронологии Геологического института РАН (индекс ГИН-), и в лаборатории радиоуглеродного датирования и электронной микроскопии Института географии РАН (индекс </w:t>
      </w:r>
      <w:r>
        <w:rPr>
          <w:rFonts w:ascii="Times New Roman" w:hAnsi="Times New Roman" w:cs="Times New Roman"/>
          <w:sz w:val="24"/>
          <w:szCs w:val="24"/>
          <w:lang w:val="en-GB"/>
        </w:rPr>
        <w:t>IGAN</w:t>
      </w:r>
      <w:r>
        <w:rPr>
          <w:rFonts w:ascii="Times New Roman" w:hAnsi="Times New Roman" w:cs="Times New Roman"/>
          <w:sz w:val="24"/>
          <w:szCs w:val="24"/>
        </w:rPr>
        <w:t>-) с применением стандартных методик, принятых в лабораториях (</w:t>
      </w:r>
      <w:r>
        <w:rPr>
          <w:rFonts w:ascii="Times New Roman" w:hAnsi="Times New Roman" w:cs="Times New Roman"/>
          <w:sz w:val="24"/>
          <w:szCs w:val="24"/>
          <w:highlight w:val="yellow"/>
        </w:rPr>
        <w:t>ссылка 1</w:t>
      </w:r>
      <w:r>
        <w:rPr>
          <w:rFonts w:ascii="Times New Roman" w:hAnsi="Times New Roman" w:cs="Times New Roman"/>
          <w:sz w:val="24"/>
          <w:szCs w:val="24"/>
        </w:rPr>
        <w:t>8)</w:t>
      </w:r>
      <w:r>
        <w:rPr>
          <w:rFonts w:ascii="Times New Roman" w:hAnsi="Times New Roman" w:cs="Times New Roman"/>
          <w:color w:val="111111"/>
          <w:sz w:val="24"/>
          <w:szCs w:val="24"/>
        </w:rPr>
        <w:t xml:space="preserve">. </w:t>
      </w:r>
      <w:r>
        <w:rPr>
          <w:rFonts w:ascii="Times New Roman" w:hAnsi="Times New Roman" w:cs="Times New Roman"/>
          <w:sz w:val="24"/>
          <w:szCs w:val="24"/>
        </w:rPr>
        <w:t xml:space="preserve">Калибровка радиоуглеродных дат выполнена в программе </w:t>
      </w:r>
      <w:r>
        <w:rPr>
          <w:rFonts w:ascii="Times New Roman" w:hAnsi="Times New Roman" w:cs="Times New Roman"/>
          <w:sz w:val="24"/>
          <w:szCs w:val="24"/>
          <w:lang w:val="en-US"/>
        </w:rPr>
        <w:t>Calib</w:t>
      </w:r>
      <w:r>
        <w:rPr>
          <w:rFonts w:ascii="Times New Roman" w:hAnsi="Times New Roman" w:cs="Times New Roman"/>
          <w:sz w:val="24"/>
          <w:szCs w:val="24"/>
        </w:rPr>
        <w:t xml:space="preserve"> 8.2 с использованием калибровочной кривой </w:t>
      </w:r>
      <w:r>
        <w:rPr>
          <w:rFonts w:ascii="Times New Roman" w:hAnsi="Times New Roman" w:cs="Times New Roman"/>
          <w:sz w:val="24"/>
          <w:szCs w:val="24"/>
          <w:lang w:val="en-US"/>
        </w:rPr>
        <w:t>IntCal</w:t>
      </w:r>
      <w:r>
        <w:rPr>
          <w:rFonts w:ascii="Times New Roman" w:hAnsi="Times New Roman" w:cs="Times New Roman"/>
          <w:sz w:val="24"/>
          <w:szCs w:val="24"/>
        </w:rPr>
        <w:t xml:space="preserve">20 и </w:t>
      </w:r>
      <w:r>
        <w:rPr>
          <w:rFonts w:ascii="Times New Roman" w:hAnsi="Times New Roman" w:cs="Times New Roman"/>
          <w:sz w:val="24"/>
          <w:szCs w:val="24"/>
          <w:lang w:val="en-US"/>
        </w:rPr>
        <w:t>Marine</w:t>
      </w:r>
      <w:r>
        <w:rPr>
          <w:rFonts w:ascii="Times New Roman" w:hAnsi="Times New Roman" w:cs="Times New Roman"/>
          <w:sz w:val="24"/>
          <w:szCs w:val="24"/>
        </w:rPr>
        <w:t>20 (</w:t>
      </w:r>
      <w:r>
        <w:rPr>
          <w:rFonts w:ascii="Times New Roman" w:hAnsi="Times New Roman" w:cs="Times New Roman"/>
          <w:sz w:val="24"/>
          <w:szCs w:val="24"/>
          <w:highlight w:val="yellow"/>
        </w:rPr>
        <w:t>ссылка 18</w:t>
      </w:r>
      <w:r>
        <w:rPr>
          <w:rFonts w:ascii="Times New Roman" w:hAnsi="Times New Roman" w:cs="Times New Roman"/>
          <w:sz w:val="24"/>
          <w:szCs w:val="24"/>
        </w:rPr>
        <w:t xml:space="preserve">). Полученные даты приведены в </w:t>
      </w:r>
      <w:r>
        <w:rPr>
          <w:rFonts w:ascii="Times New Roman" w:hAnsi="Times New Roman" w:cs="Times New Roman"/>
          <w:sz w:val="24"/>
          <w:szCs w:val="24"/>
          <w:highlight w:val="yellow"/>
          <w:lang w:val="en-US"/>
        </w:rPr>
        <w:t>Table</w:t>
      </w:r>
      <w:r>
        <w:rPr>
          <w:rFonts w:ascii="Times New Roman" w:hAnsi="Times New Roman" w:cs="Times New Roman"/>
          <w:sz w:val="24"/>
          <w:szCs w:val="24"/>
          <w:highlight w:val="yellow"/>
        </w:rPr>
        <w:t xml:space="preserve"> 2.</w:t>
      </w:r>
    </w:p>
    <w:p w14:paraId="28F06C6E">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853376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8533765"/>
                    </a:xfrm>
                    <a:prstGeom prst="rect">
                      <a:avLst/>
                    </a:prstGeom>
                  </pic:spPr>
                </pic:pic>
              </a:graphicData>
            </a:graphic>
          </wp:inline>
        </w:drawing>
      </w:r>
    </w:p>
    <w:p w14:paraId="4E242DCB">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highlight w:val="yellow"/>
        </w:rPr>
        <w:t>Рис</w:t>
      </w:r>
      <w:r>
        <w:rPr>
          <w:rFonts w:ascii="Times New Roman" w:hAnsi="Times New Roman" w:cs="Times New Roman"/>
          <w:b/>
          <w:bCs/>
          <w:sz w:val="24"/>
          <w:szCs w:val="24"/>
          <w:highlight w:val="yellow"/>
          <w:lang w:val="en-US"/>
        </w:rPr>
        <w:t>. 2</w:t>
      </w:r>
      <w:r>
        <w:rPr>
          <w:rFonts w:ascii="Times New Roman" w:hAnsi="Times New Roman" w:cs="Times New Roman"/>
          <w:sz w:val="24"/>
          <w:szCs w:val="24"/>
          <w:highlight w:val="yellow"/>
          <w:lang w:val="en-US"/>
        </w:rPr>
        <w:t>. Work site layout (I) and hypsometric profile 1 (II). Numbers 1 and 2 indicate hypsometric profiles. Letters indicate sedimentary successions: A–C – surveyed quarry walls, D – bottom sediments of the kettle hole lake.</w:t>
      </w:r>
    </w:p>
    <w:p w14:paraId="708E4936">
      <w:pPr>
        <w:spacing w:after="0" w:line="360" w:lineRule="auto"/>
        <w:jc w:val="both"/>
        <w:rPr>
          <w:rFonts w:ascii="Times New Roman" w:hAnsi="Times New Roman" w:cs="Times New Roman"/>
          <w:sz w:val="24"/>
          <w:szCs w:val="24"/>
          <w:lang w:val="en-US"/>
        </w:rPr>
      </w:pPr>
    </w:p>
    <w:p w14:paraId="6F473A3D">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РЕЗУЛЬТАТЫ</w:t>
      </w:r>
    </w:p>
    <w:p w14:paraId="5BE755D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Ледниковый рельеф Колвицкой ложбины представлен параллельно-грядовыми формами ребристой морены, а также грядовым и хомисто-грядовым рельефом флювиогляциальных дельт, озов</w:t>
      </w:r>
      <w:r>
        <w:rPr>
          <w:rFonts w:ascii="Times New Roman" w:hAnsi="Times New Roman" w:cs="Times New Roman"/>
          <w:i/>
          <w:sz w:val="24"/>
          <w:szCs w:val="24"/>
        </w:rPr>
        <w:t xml:space="preserve"> </w:t>
      </w:r>
      <w:r>
        <w:rPr>
          <w:rFonts w:ascii="Times New Roman" w:hAnsi="Times New Roman" w:cs="Times New Roman"/>
          <w:sz w:val="24"/>
          <w:szCs w:val="24"/>
        </w:rPr>
        <w:t>и камов (</w:t>
      </w:r>
      <w:r>
        <w:rPr>
          <w:rFonts w:ascii="Times New Roman" w:hAnsi="Times New Roman" w:cs="Times New Roman"/>
          <w:sz w:val="24"/>
          <w:szCs w:val="24"/>
          <w:highlight w:val="yellow"/>
        </w:rPr>
        <w:t>Рис.</w:t>
      </w:r>
      <w:r>
        <w:rPr>
          <w:rFonts w:ascii="Times New Roman" w:hAnsi="Times New Roman" w:cs="Times New Roman"/>
          <w:sz w:val="24"/>
          <w:szCs w:val="24"/>
        </w:rPr>
        <w:t xml:space="preserve"> 1). </w:t>
      </w:r>
    </w:p>
    <w:p w14:paraId="4832DE4D">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Параллельно-грядовый рельеф </w:t>
      </w:r>
      <w:r>
        <w:rPr>
          <w:rFonts w:ascii="Times New Roman" w:hAnsi="Times New Roman" w:cs="Times New Roman"/>
          <w:i/>
          <w:sz w:val="24"/>
          <w:szCs w:val="24"/>
        </w:rPr>
        <w:t>ребристой морены</w:t>
      </w:r>
      <w:r>
        <w:rPr>
          <w:rFonts w:ascii="Times New Roman" w:hAnsi="Times New Roman" w:cs="Times New Roman"/>
          <w:sz w:val="24"/>
          <w:szCs w:val="24"/>
        </w:rPr>
        <w:t xml:space="preserve"> распространен на отметках от 30–90 м н.у.м. в западной части ложбины до 65–120 м н.у.м. в центральной и восточной. В плане гряды слабо извилистые, иногда выпрямленные, ориентированы параллельно друг другу, в основном с юг-юго-запада на север-северо-восток (</w:t>
      </w:r>
      <w:r>
        <w:rPr>
          <w:rFonts w:ascii="Times New Roman" w:hAnsi="Times New Roman" w:cs="Times New Roman"/>
          <w:sz w:val="24"/>
          <w:szCs w:val="24"/>
          <w:highlight w:val="yellow"/>
        </w:rPr>
        <w:t>Рис.</w:t>
      </w:r>
      <w:r>
        <w:rPr>
          <w:rFonts w:ascii="Times New Roman" w:hAnsi="Times New Roman" w:cs="Times New Roman"/>
          <w:sz w:val="24"/>
          <w:szCs w:val="24"/>
        </w:rPr>
        <w:t xml:space="preserve"> 1). Высота гряд достигает 5–10 м, длина 0.5–0.8 км, ширина 0.05–0.23 км. </w:t>
      </w:r>
    </w:p>
    <w:p w14:paraId="330B8077">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Строение одной из гряд высотой до 86 м н.у.м. установлено в небольшом карьере (</w:t>
      </w:r>
      <w:r>
        <w:rPr>
          <w:rFonts w:ascii="Times New Roman" w:hAnsi="Times New Roman" w:cs="Times New Roman"/>
          <w:sz w:val="24"/>
          <w:szCs w:val="24"/>
          <w:lang w:val="en-US"/>
        </w:rPr>
        <w:t>N</w:t>
      </w:r>
      <w:r>
        <w:rPr>
          <w:rFonts w:ascii="Times New Roman" w:hAnsi="Times New Roman" w:cs="Times New Roman"/>
          <w:sz w:val="24"/>
          <w:szCs w:val="24"/>
        </w:rPr>
        <w:t xml:space="preserve"> 67°06'20.4'', </w:t>
      </w:r>
      <w:r>
        <w:rPr>
          <w:rFonts w:ascii="Times New Roman" w:hAnsi="Times New Roman" w:cs="Times New Roman"/>
          <w:sz w:val="24"/>
          <w:szCs w:val="24"/>
          <w:lang w:val="en-US"/>
        </w:rPr>
        <w:t>E</w:t>
      </w:r>
      <w:r>
        <w:rPr>
          <w:rFonts w:ascii="Times New Roman" w:hAnsi="Times New Roman" w:cs="Times New Roman"/>
          <w:sz w:val="24"/>
          <w:szCs w:val="24"/>
        </w:rPr>
        <w:t xml:space="preserve"> 33°01'47.1'', </w:t>
      </w:r>
      <w:r>
        <w:rPr>
          <w:rFonts w:ascii="Times New Roman" w:hAnsi="Times New Roman" w:cs="Times New Roman"/>
          <w:sz w:val="24"/>
          <w:szCs w:val="24"/>
          <w:highlight w:val="yellow"/>
        </w:rPr>
        <w:t>Рис. 1, А</w:t>
      </w:r>
      <w:r>
        <w:rPr>
          <w:rFonts w:ascii="Times New Roman" w:hAnsi="Times New Roman" w:cs="Times New Roman"/>
          <w:sz w:val="24"/>
          <w:szCs w:val="24"/>
        </w:rPr>
        <w:t>), в юго-восточной стенке которого сверху вниз вскрываются 2 пачки диамиктона (</w:t>
      </w:r>
      <w:r>
        <w:rPr>
          <w:rFonts w:ascii="Times New Roman" w:hAnsi="Times New Roman" w:cs="Times New Roman"/>
          <w:sz w:val="24"/>
          <w:szCs w:val="24"/>
          <w:highlight w:val="yellow"/>
        </w:rPr>
        <w:t>Рис. Х3, а</w:t>
      </w:r>
      <w:r>
        <w:rPr>
          <w:rFonts w:ascii="Times New Roman" w:hAnsi="Times New Roman" w:cs="Times New Roman"/>
          <w:sz w:val="24"/>
          <w:szCs w:val="24"/>
        </w:rPr>
        <w:t xml:space="preserve">). Верхняя пачка (0.4-0.7 м) представлена слоистым (с тонкими прослоями песков) или массивным от оливково-серого до желто-коричневого диамиктоном с высоким (до 45 %) содержание гравия, гальки и валунов и неровной подошвой, которая подстилается (видимая мощность – более 1.7 м) оливково-серым слоистым песчаным диамиктоном с гравием, галькой, валунами (до 20–25 %) и микро-складками в верхней части. В основании отдельных гряд в западной части ложбины (вблизи д. Колвица, </w:t>
      </w:r>
      <w:r>
        <w:rPr>
          <w:rFonts w:ascii="Times New Roman" w:hAnsi="Times New Roman" w:cs="Times New Roman"/>
          <w:sz w:val="24"/>
          <w:szCs w:val="24"/>
          <w:highlight w:val="yellow"/>
        </w:rPr>
        <w:t>Рис. 1, В</w:t>
      </w:r>
      <w:r>
        <w:rPr>
          <w:rFonts w:ascii="Times New Roman" w:hAnsi="Times New Roman" w:cs="Times New Roman"/>
          <w:sz w:val="24"/>
          <w:szCs w:val="24"/>
        </w:rPr>
        <w:t>) установлено, что диамиктоны малой мощности (до 1–3 м) оливково-серового цвета и с массивной текстурой залегают на небольших выступах кристаллического фундамента куэстообразной формы: с пологим западным, и крутым, обрывистым восточным склоном (</w:t>
      </w:r>
      <w:r>
        <w:rPr>
          <w:rFonts w:ascii="Times New Roman" w:hAnsi="Times New Roman" w:cs="Times New Roman"/>
          <w:sz w:val="24"/>
          <w:szCs w:val="24"/>
          <w:highlight w:val="yellow"/>
        </w:rPr>
        <w:t>Рис. Х3, б</w:t>
      </w:r>
      <w:r>
        <w:rPr>
          <w:rFonts w:ascii="Times New Roman" w:hAnsi="Times New Roman" w:cs="Times New Roman"/>
          <w:sz w:val="24"/>
          <w:szCs w:val="24"/>
        </w:rPr>
        <w:t>1). Ориентировка этих выступов совпадает с простиранием моренных гряд в районе. Также в строении отдельных гряд установлены оливково-серые диамиктоны без отчетливой упорядоченной текстуры, где доля крупнообломочного материала достигает 45% (</w:t>
      </w:r>
      <w:r>
        <w:rPr>
          <w:rFonts w:ascii="Times New Roman" w:hAnsi="Times New Roman" w:cs="Times New Roman"/>
          <w:sz w:val="24"/>
          <w:szCs w:val="24"/>
          <w:highlight w:val="yellow"/>
        </w:rPr>
        <w:t xml:space="preserve">Рис. Х3, </w:t>
      </w:r>
      <w:r>
        <w:rPr>
          <w:rFonts w:ascii="Times New Roman" w:hAnsi="Times New Roman" w:cs="Times New Roman"/>
          <w:sz w:val="24"/>
          <w:szCs w:val="24"/>
        </w:rPr>
        <w:t xml:space="preserve">б2). </w:t>
      </w:r>
    </w:p>
    <w:p w14:paraId="112AFE25">
      <w:pPr>
        <w:spacing w:after="0" w:line="360" w:lineRule="auto"/>
        <w:ind w:firstLine="567"/>
        <w:jc w:val="both"/>
        <w:rPr>
          <w:rFonts w:ascii="Times New Roman" w:hAnsi="Times New Roman" w:cs="Times New Roman"/>
          <w:sz w:val="24"/>
          <w:szCs w:val="24"/>
        </w:rPr>
      </w:pPr>
      <w:r>
        <w:drawing>
          <wp:anchor distT="0" distB="0" distL="114300" distR="114300" simplePos="0" relativeHeight="251659264" behindDoc="1" locked="0" layoutInCell="1" allowOverlap="1">
            <wp:simplePos x="0" y="0"/>
            <wp:positionH relativeFrom="column">
              <wp:align>center</wp:align>
            </wp:positionH>
            <wp:positionV relativeFrom="paragraph">
              <wp:posOffset>0</wp:posOffset>
            </wp:positionV>
            <wp:extent cx="5934075" cy="5086350"/>
            <wp:effectExtent l="0" t="0" r="9525" b="3810"/>
            <wp:wrapTight wrapText="bothSides">
              <wp:wrapPolygon>
                <wp:start x="-35" y="0"/>
                <wp:lineTo x="-35" y="21560"/>
                <wp:lineTo x="21600" y="21560"/>
                <wp:lineTo x="21600" y="0"/>
                <wp:lineTo x="-35" y="0"/>
              </wp:wrapPolygon>
            </wp:wrapTight>
            <wp:docPr id="1" name="Изображение 4"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4" descr="Рис"/>
                    <pic:cNvPicPr>
                      <a:picLocks noChangeAspect="1"/>
                    </pic:cNvPicPr>
                  </pic:nvPicPr>
                  <pic:blipFill>
                    <a:blip r:embed="rId11"/>
                    <a:stretch>
                      <a:fillRect/>
                    </a:stretch>
                  </pic:blipFill>
                  <pic:spPr>
                    <a:xfrm>
                      <a:off x="0" y="0"/>
                      <a:ext cx="5934075" cy="5086350"/>
                    </a:xfrm>
                    <a:prstGeom prst="rect">
                      <a:avLst/>
                    </a:prstGeom>
                    <a:noFill/>
                    <a:ln>
                      <a:noFill/>
                    </a:ln>
                  </pic:spPr>
                </pic:pic>
              </a:graphicData>
            </a:graphic>
          </wp:anchor>
        </w:drawing>
      </w:r>
      <w:r>
        <w:rPr>
          <w:rFonts w:ascii="Times New Roman" w:hAnsi="Times New Roman" w:cs="Times New Roman"/>
          <w:sz w:val="24"/>
          <w:szCs w:val="24"/>
          <w:highlight w:val="yellow"/>
        </w:rPr>
        <w:t>Рис. Х3. Разрез гряд ребристой морены в Колвицкой ложбине, гряда у озера Выдра-Ламбина (а) и гряды в д. Колвица (б1 и б2): 1 – кристаллические породы (гнейсы комплекса основания, архей); 2 – обломки кристаллических пород с песчаным заполнителем; 3 – диамиктон с гляциодинамической текстурой; 4 – диамиктон с массивной и слоистой текстурой; 5 – пески разнозернистые, с гравием, галькой, валунами, не сортированные; 6 – линзы песков мелкозернистых в диамиктоне. Диаграмма А отображает падение полюсов сланцеватости, В–Е показывают падение длинных осей галек и валунов: 7 – реконструкция направления давления ледника на диаграмме и в разрезе; 8 – места замеров для структурных диаграмм. Врезка б1–б2 построена по серии разрезов на склонах гряд. Цвет четвертичных отложений на рисунках отвечает фактически определенному в поле.</w:t>
      </w:r>
    </w:p>
    <w:p w14:paraId="21B79253">
      <w:pPr>
        <w:spacing w:after="0" w:line="360" w:lineRule="auto"/>
        <w:jc w:val="both"/>
        <w:rPr>
          <w:rFonts w:ascii="Times New Roman" w:hAnsi="Times New Roman" w:cs="Times New Roman"/>
          <w:sz w:val="24"/>
          <w:szCs w:val="24"/>
        </w:rPr>
      </w:pPr>
    </w:p>
    <w:p w14:paraId="76AAA380">
      <w:pPr>
        <w:spacing w:after="0" w:line="360" w:lineRule="auto"/>
        <w:ind w:firstLine="709"/>
        <w:jc w:val="both"/>
        <w:rPr>
          <w:rFonts w:ascii="Times New Roman" w:hAnsi="Times New Roman" w:cs="Times New Roman"/>
          <w:sz w:val="24"/>
          <w:szCs w:val="24"/>
        </w:rPr>
      </w:pPr>
      <w:r>
        <w:rPr>
          <w:rFonts w:ascii="Times New Roman" w:hAnsi="Times New Roman" w:cs="Times New Roman"/>
          <w:i/>
          <w:sz w:val="24"/>
          <w:szCs w:val="24"/>
        </w:rPr>
        <w:t xml:space="preserve">Флювиогляциальные дельты </w:t>
      </w:r>
      <w:r>
        <w:rPr>
          <w:rFonts w:ascii="Times New Roman" w:hAnsi="Times New Roman" w:cs="Times New Roman"/>
          <w:sz w:val="24"/>
          <w:szCs w:val="24"/>
        </w:rPr>
        <w:t>установлены на дистальных окончаниях каналов стока талых ледниковых вод, выраженных в рельефе как в виде озовых гряд, так и ложбин.</w:t>
      </w:r>
      <w:r>
        <w:rPr>
          <w:rFonts w:ascii="Times New Roman" w:hAnsi="Times New Roman" w:cs="Times New Roman"/>
          <w:i/>
          <w:sz w:val="24"/>
          <w:szCs w:val="24"/>
        </w:rPr>
        <w:t xml:space="preserve"> </w:t>
      </w:r>
      <w:r>
        <w:rPr>
          <w:rFonts w:ascii="Times New Roman" w:hAnsi="Times New Roman" w:cs="Times New Roman"/>
          <w:sz w:val="24"/>
          <w:szCs w:val="24"/>
        </w:rPr>
        <w:t>В Колвицкой ложбине флювиогляциальные дельты встречаются у ее северо-западного борта и обращены к понижениям между массивами Домашние, Лувеньгские и Ёлка-Тундры, а также в восточной её части. Дельты у северо-западного борта (Р</w:t>
      </w:r>
      <w:r>
        <w:rPr>
          <w:rFonts w:ascii="Times New Roman" w:hAnsi="Times New Roman" w:cs="Times New Roman"/>
          <w:sz w:val="24"/>
          <w:szCs w:val="24"/>
          <w:highlight w:val="yellow"/>
        </w:rPr>
        <w:t>ис.</w:t>
      </w:r>
      <w:r>
        <w:rPr>
          <w:rFonts w:ascii="Times New Roman" w:hAnsi="Times New Roman" w:cs="Times New Roman"/>
          <w:sz w:val="24"/>
          <w:szCs w:val="24"/>
        </w:rPr>
        <w:t xml:space="preserve"> 1) представляют собой изометричные или треугольные в плане холмистые площадки, с выраженным уклоном поверхности к ложбине, сложенные разнозернистыми косослоистыми песками с неравномерным (5–20 %) содержанием гравия, галек и небольших валунов, с поверхности покрытые галечно-валунным, плохо сортированным, но хорошо промытым материалом (</w:t>
      </w:r>
      <w:r>
        <w:rPr>
          <w:rFonts w:ascii="Times New Roman" w:hAnsi="Times New Roman" w:cs="Times New Roman"/>
          <w:sz w:val="24"/>
          <w:szCs w:val="24"/>
          <w:highlight w:val="yellow"/>
        </w:rPr>
        <w:t>Рис. Х4, а1</w:t>
      </w:r>
      <w:r>
        <w:rPr>
          <w:rFonts w:ascii="Times New Roman" w:hAnsi="Times New Roman" w:cs="Times New Roman"/>
          <w:sz w:val="24"/>
          <w:szCs w:val="24"/>
        </w:rPr>
        <w:t>). В песках часто отмечаются прослои песков глинистых и алевритов (</w:t>
      </w:r>
      <w:r>
        <w:rPr>
          <w:rFonts w:ascii="Times New Roman" w:hAnsi="Times New Roman" w:cs="Times New Roman"/>
          <w:sz w:val="24"/>
          <w:szCs w:val="24"/>
          <w:highlight w:val="yellow"/>
        </w:rPr>
        <w:t>Рис. Х4, а</w:t>
      </w:r>
      <w:r>
        <w:rPr>
          <w:rFonts w:ascii="Times New Roman" w:hAnsi="Times New Roman" w:cs="Times New Roman"/>
          <w:sz w:val="24"/>
          <w:szCs w:val="24"/>
        </w:rPr>
        <w:t>2), иногда смятых в мелкие складки, характерные для текстур нагрузки и оползания по склону (</w:t>
      </w:r>
      <w:r>
        <w:rPr>
          <w:rFonts w:ascii="Times New Roman" w:hAnsi="Times New Roman" w:cs="Times New Roman"/>
          <w:sz w:val="24"/>
          <w:szCs w:val="24"/>
          <w:highlight w:val="yellow"/>
        </w:rPr>
        <w:t>Рис. Х4, а</w:t>
      </w:r>
      <w:r>
        <w:rPr>
          <w:rFonts w:ascii="Times New Roman" w:hAnsi="Times New Roman" w:cs="Times New Roman"/>
          <w:sz w:val="24"/>
          <w:szCs w:val="24"/>
        </w:rPr>
        <w:t>3). Из толщи косослоистых песков в нижней части площадки дельты были получены ОСЛ-даты 19.7±2.0 и 72.0±9.0 тыс. лет, в площадке выше по склону – 22.0±3.0 тыс. лет (</w:t>
      </w:r>
      <w:r>
        <w:rPr>
          <w:rFonts w:ascii="Times New Roman" w:hAnsi="Times New Roman" w:cs="Times New Roman"/>
          <w:sz w:val="24"/>
          <w:szCs w:val="24"/>
          <w:highlight w:val="yellow"/>
        </w:rPr>
        <w:t>Рис. Х.4, а2, а3</w:t>
      </w:r>
      <w:r>
        <w:rPr>
          <w:rFonts w:ascii="Times New Roman" w:hAnsi="Times New Roman" w:cs="Times New Roman"/>
          <w:sz w:val="24"/>
          <w:szCs w:val="24"/>
        </w:rPr>
        <w:t>).</w:t>
      </w:r>
    </w:p>
    <w:p w14:paraId="39DEE899">
      <w:pPr>
        <w:spacing w:after="0" w:line="360" w:lineRule="auto"/>
        <w:ind w:firstLine="567"/>
        <w:jc w:val="both"/>
        <w:rPr>
          <w:rFonts w:ascii="Times New Roman" w:hAnsi="Times New Roman" w:cs="Times New Roman"/>
          <w:sz w:val="24"/>
          <w:szCs w:val="24"/>
        </w:rPr>
      </w:pPr>
      <w:r>
        <w:drawing>
          <wp:anchor distT="0" distB="0" distL="114300" distR="114300" simplePos="0" relativeHeight="251661312" behindDoc="1" locked="0" layoutInCell="1" allowOverlap="1">
            <wp:simplePos x="0" y="0"/>
            <wp:positionH relativeFrom="column">
              <wp:align>center</wp:align>
            </wp:positionH>
            <wp:positionV relativeFrom="paragraph">
              <wp:posOffset>0</wp:posOffset>
            </wp:positionV>
            <wp:extent cx="5876925" cy="4638675"/>
            <wp:effectExtent l="0" t="0" r="5715" b="9525"/>
            <wp:wrapTight wrapText="bothSides">
              <wp:wrapPolygon>
                <wp:start x="-35" y="0"/>
                <wp:lineTo x="-35" y="21556"/>
                <wp:lineTo x="21600" y="21556"/>
                <wp:lineTo x="21600" y="0"/>
                <wp:lineTo x="-35" y="0"/>
              </wp:wrapPolygon>
            </wp:wrapTight>
            <wp:docPr id="8" name="Изображение 9"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9" descr="Рис"/>
                    <pic:cNvPicPr>
                      <a:picLocks noChangeAspect="1"/>
                    </pic:cNvPicPr>
                  </pic:nvPicPr>
                  <pic:blipFill>
                    <a:blip r:embed="rId12"/>
                    <a:stretch>
                      <a:fillRect/>
                    </a:stretch>
                  </pic:blipFill>
                  <pic:spPr>
                    <a:xfrm>
                      <a:off x="0" y="0"/>
                      <a:ext cx="5876925" cy="4638675"/>
                    </a:xfrm>
                    <a:prstGeom prst="rect">
                      <a:avLst/>
                    </a:prstGeom>
                    <a:noFill/>
                    <a:ln>
                      <a:noFill/>
                    </a:ln>
                  </pic:spPr>
                </pic:pic>
              </a:graphicData>
            </a:graphic>
          </wp:anchor>
        </w:drawing>
      </w:r>
      <w:r>
        <w:rPr>
          <w:rFonts w:ascii="Times New Roman" w:hAnsi="Times New Roman" w:cs="Times New Roman"/>
          <w:sz w:val="24"/>
          <w:szCs w:val="24"/>
          <w:highlight w:val="yellow"/>
        </w:rPr>
        <w:t xml:space="preserve">Рис. Х4. Разрезы фрагментов флювиогляциальных дельт Колвицкой ложбины: на ее северном боргу (а1–а3) и на дистальном окончании Колвицкого оза (б): 1 – галечно-валунный материал с гравием и песком разнозернистым; 2 – пески разнозернистые, с гравием и галькой (до 20%); 3 – пески средне- и крупнозернистые, с отдельными зернами гравия и гальки (до 5 %); 4 – пески мелкозернистые, однородные; 5 – прослои и линзы песков тонкозернистых, глинистых; 6 – прослои и линзы алевритов опесчаненых и песков тонкозернистых; 7 – прослои алеврита с тонкими прослоями песков тонкозернистых; 8 – разрывные нарушения (сбросы и взбросы). </w:t>
      </w:r>
      <w:r>
        <w:rPr>
          <w:rFonts w:ascii="Times New Roman" w:hAnsi="Times New Roman" w:cs="Times New Roman"/>
          <w:sz w:val="24"/>
          <w:szCs w:val="24"/>
        </w:rPr>
        <w:t>Красными кружками показаны места отбора проб на ОСЛ-датирование и полученные результаты в тыс. л.н.</w:t>
      </w:r>
    </w:p>
    <w:p w14:paraId="154359F4">
      <w:pPr>
        <w:spacing w:after="0" w:line="360" w:lineRule="auto"/>
        <w:ind w:firstLine="709"/>
        <w:jc w:val="both"/>
        <w:rPr>
          <w:rFonts w:ascii="Times New Roman" w:hAnsi="Times New Roman" w:cs="Times New Roman"/>
          <w:sz w:val="24"/>
          <w:szCs w:val="24"/>
        </w:rPr>
      </w:pPr>
    </w:p>
    <w:p w14:paraId="0F7F020D">
      <w:pPr>
        <w:spacing w:after="0" w:line="360" w:lineRule="auto"/>
        <w:ind w:firstLine="709"/>
        <w:jc w:val="both"/>
        <w:rPr>
          <w:rFonts w:ascii="Times New Roman" w:hAnsi="Times New Roman" w:cs="Times New Roman"/>
          <w:sz w:val="24"/>
          <w:szCs w:val="24"/>
        </w:rPr>
      </w:pPr>
      <w:commentRangeStart w:id="5"/>
      <w:r>
        <w:rPr>
          <w:rFonts w:ascii="Times New Roman" w:hAnsi="Times New Roman" w:cs="Times New Roman"/>
          <w:sz w:val="24"/>
          <w:szCs w:val="24"/>
        </w:rPr>
        <w:t>Флювиогляциальная дельта в восточной части ложбины (</w:t>
      </w:r>
      <w:r>
        <w:rPr>
          <w:rFonts w:ascii="Times New Roman" w:hAnsi="Times New Roman" w:cs="Times New Roman"/>
          <w:sz w:val="24"/>
          <w:szCs w:val="24"/>
          <w:highlight w:val="yellow"/>
        </w:rPr>
        <w:t xml:space="preserve">Рис. 1, </w:t>
      </w:r>
      <w:r>
        <w:rPr>
          <w:rFonts w:ascii="Times New Roman" w:hAnsi="Times New Roman" w:cs="Times New Roman"/>
          <w:sz w:val="24"/>
          <w:szCs w:val="24"/>
          <w:highlight w:val="yellow"/>
          <w:lang w:val="en-US"/>
        </w:rPr>
        <w:t>D</w:t>
      </w:r>
      <w:r>
        <w:rPr>
          <w:rFonts w:ascii="Times New Roman" w:hAnsi="Times New Roman" w:cs="Times New Roman"/>
          <w:sz w:val="24"/>
          <w:szCs w:val="24"/>
        </w:rPr>
        <w:t xml:space="preserve">) хорошо выражена на дистальном окончании Колвицкого оза, севернее истока р. Колвица. Она выражена в виде холмисто-грядового массива размерами 2.5×0.8 км и относительной высотой до 55 м, с отчетливыми крутыми склонами. Обследование дельты производилось в карьере размерами 0.26×0.09 км, который вскрывает гребневую часть одной из гряд массива, уплощенную поверхность массива, гляциокарстовую западину и верхнюю часть северного склона массива. В строении гребневой части гряды установлено сложное переслаивание песков мелкозернистых и реже тонкозернистых, уплотненных, с внутренней волнистой и косой слоистостью с галечно-валунными отложениями, средне- и плохо сортированными, иногда с признаками внутренней наклонной слоистости за счет линз и прослоев песков разнозернистых. Падение переслаивания разнородных осадков направлено к северу и северо-востоку. Толща разбита большим количеством разрывных нарушений с амплитудой смещения до 0.5–0.8 м (в основном не более 0.2 м), в основном сбросовой кинематики. Иногда отмечаются участки со смятием песков мелко- и тонкозернистых в складки течения, с большим числом микросбросов на крыльях. </w:t>
      </w:r>
    </w:p>
    <w:p w14:paraId="219F479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Уплощенные поверхности массива сложены почти повсеместно мощной (свыше 10 м) толщей галечно-валунных отложений (</w:t>
      </w:r>
      <w:r>
        <w:rPr>
          <w:rFonts w:ascii="Times New Roman" w:hAnsi="Times New Roman" w:cs="Times New Roman"/>
          <w:sz w:val="24"/>
          <w:szCs w:val="24"/>
          <w:highlight w:val="yellow"/>
        </w:rPr>
        <w:t>Рис. Х4, б</w:t>
      </w:r>
      <w:r>
        <w:rPr>
          <w:rFonts w:ascii="Times New Roman" w:hAnsi="Times New Roman" w:cs="Times New Roman"/>
          <w:sz w:val="24"/>
          <w:szCs w:val="24"/>
        </w:rPr>
        <w:t xml:space="preserve">). Они средне и хорошо промытые и сортированные, с признаками слоистости за счет прослоев материала с увеличением числа гравия и песка крупнозернистого. Падение слоистости этого материала направленно в северо-восточном и восточном направлении. Данная толща отложений ближе к склонам массива и в пределах понижений гляциокарстовых котловин перекрывается пачкой из песков мелко- и реднезернистых, иногда с прослоями гравия и гальки, которая переслаивается с алевритом светло-оливково-серым, однородным, плотным, с тонкой перекрестной слоистостью. Прослои алеврита маркируют подошву слоя, где он имеет мощность от 0.2–0.3 м, которая к склонам массива возрастает до 0.5–0.9 м. Общая мощность этой пачки возрастает вниз по склонам до 5.5–6.0 м, а на склонах отдельных гряд за счет увеличения мощности песков среднезернистых с гравием и галькой возрастает до 9–10 м. В пачке песков также встречаются разрывные нарушения в виде сбросов, плоскости смещения которых направлены в сторону склонов массива и гляциокарстовых западин. Из толщи перекрывающих крупнообломочный материал песков в восточной части карьера с глубины 2.6 м была получена ОСЛ дата в 13.5±0.8 тыс. л.н., а с глубины 4.2 м датировка в 51.0±5.0 тыс. л.н </w:t>
      </w:r>
      <w:r>
        <w:rPr>
          <w:rFonts w:ascii="Times New Roman" w:hAnsi="Times New Roman" w:cs="Times New Roman"/>
          <w:sz w:val="24"/>
          <w:szCs w:val="24"/>
          <w:highlight w:val="yellow"/>
        </w:rPr>
        <w:t>(Рис. Х4, б</w:t>
      </w:r>
      <w:r>
        <w:rPr>
          <w:rFonts w:ascii="Times New Roman" w:hAnsi="Times New Roman" w:cs="Times New Roman"/>
          <w:sz w:val="24"/>
          <w:szCs w:val="24"/>
        </w:rPr>
        <w:t>).</w:t>
      </w:r>
    </w:p>
    <w:commentRangeEnd w:id="5"/>
    <w:p w14:paraId="36F5C627">
      <w:pPr>
        <w:spacing w:after="0" w:line="360" w:lineRule="auto"/>
        <w:ind w:firstLine="709"/>
        <w:jc w:val="both"/>
        <w:rPr>
          <w:rFonts w:ascii="Times New Roman" w:hAnsi="Times New Roman" w:cs="Times New Roman"/>
          <w:sz w:val="24"/>
          <w:szCs w:val="24"/>
        </w:rPr>
      </w:pPr>
      <w:r>
        <w:rPr>
          <w:rStyle w:val="5"/>
          <w:rFonts w:ascii="Times New Roman" w:hAnsi="Times New Roman" w:cs="Times New Roman"/>
          <w:i/>
          <w:sz w:val="24"/>
          <w:szCs w:val="24"/>
        </w:rPr>
        <w:commentReference w:id="5"/>
      </w:r>
      <w:r>
        <w:rPr>
          <w:rFonts w:ascii="Times New Roman" w:hAnsi="Times New Roman" w:cs="Times New Roman"/>
          <w:i/>
          <w:sz w:val="24"/>
          <w:szCs w:val="24"/>
        </w:rPr>
        <w:t>Озовые гряды</w:t>
      </w:r>
      <w:r>
        <w:rPr>
          <w:rFonts w:ascii="Times New Roman" w:hAnsi="Times New Roman" w:cs="Times New Roman"/>
          <w:sz w:val="24"/>
          <w:szCs w:val="24"/>
        </w:rPr>
        <w:t xml:space="preserve"> развиты, прежде всего, в осевой части Колвицкой ложбины (т.н. Колвицкий оз), а также в северной части ложбины (оз Тикша) и в восточной части (оз Вересельга, в пределах котловины озера Колвицкое) (</w:t>
      </w:r>
      <w:r>
        <w:rPr>
          <w:rFonts w:ascii="Times New Roman" w:hAnsi="Times New Roman" w:cs="Times New Roman"/>
          <w:sz w:val="24"/>
          <w:szCs w:val="24"/>
          <w:highlight w:val="yellow"/>
        </w:rPr>
        <w:t>Рис. 1</w:t>
      </w:r>
      <w:r>
        <w:rPr>
          <w:rFonts w:ascii="Times New Roman" w:hAnsi="Times New Roman" w:cs="Times New Roman"/>
          <w:sz w:val="24"/>
          <w:szCs w:val="24"/>
        </w:rPr>
        <w:t>). В озовые системы входят отдельные гряды длиной до 1–1.5 км и шириной около 50–100 м, в основном с симметричными склонами крутизной до 28–34°. Высота гряд обычно 5–7 м, в восточной части Колвицкого оза до 18–30 м. Абсолютные отметки гребней гряд Колвицкого оза поднимаются с запада на восток от 22–25 м н.у.м. до 118 м н.у.м., а у оза Вересельга в котловине Колвицкого озера не превышают 65–68 м н.у.м. Абсолютные отметки оза Тикша, напротив, возрастают с востока на запад с 60–65 м до 110–120 м н.у.м. На отдельных участках озовых систем прослеживаются два параллельных гребня гряд. Иногда они разделены замкнутыми котловинами глубиной до 15–20 м, заболоченными или с небольшими озерами.</w:t>
      </w:r>
    </w:p>
    <w:p w14:paraId="09DF66B7">
      <w:pPr>
        <w:pBdr>
          <w:top w:val="none" w:color="000000" w:sz="0" w:space="0"/>
          <w:left w:val="none" w:color="000000" w:sz="0" w:space="0"/>
          <w:bottom w:val="none" w:color="000000" w:sz="0" w:space="0"/>
          <w:right w:val="none" w:color="000000" w:sz="0" w:space="0"/>
        </w:pBd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 склонам озовых гряд (Колвицкому и Вересельга в восточной части ложбины) зачастую примыкают террасовидные тела со слабо наклоненной от гребня поверхностью, сложенные мелко- и среднезернистыми субпараллельно слоистыми песками. В строении такого тела к северо-востоку от гребня гряды Вересельга (</w:t>
      </w:r>
      <w:r>
        <w:rPr>
          <w:rFonts w:ascii="Times New Roman" w:hAnsi="Times New Roman" w:eastAsia="Times New Roman" w:cs="Times New Roman"/>
          <w:bCs/>
          <w:color w:val="000000"/>
          <w:sz w:val="24"/>
          <w:szCs w:val="24"/>
        </w:rPr>
        <w:t>67.07973 с.ш., 33.36326 в.д.)</w:t>
      </w:r>
      <w:r>
        <w:rPr>
          <w:rFonts w:ascii="Times New Roman" w:hAnsi="Times New Roman" w:cs="Times New Roman"/>
          <w:sz w:val="24"/>
          <w:szCs w:val="24"/>
        </w:rPr>
        <w:t xml:space="preserve"> (</w:t>
      </w:r>
      <w:r>
        <w:rPr>
          <w:rFonts w:ascii="Times New Roman" w:hAnsi="Times New Roman" w:cs="Times New Roman"/>
          <w:sz w:val="24"/>
          <w:szCs w:val="24"/>
          <w:highlight w:val="yellow"/>
        </w:rPr>
        <w:t>6 на Рис. 1</w:t>
      </w:r>
      <w:r>
        <w:rPr>
          <w:rFonts w:ascii="Times New Roman" w:hAnsi="Times New Roman" w:cs="Times New Roman"/>
          <w:sz w:val="24"/>
          <w:szCs w:val="24"/>
        </w:rPr>
        <w:t>)</w:t>
      </w:r>
      <w:r>
        <w:rPr>
          <w:rFonts w:ascii="Times New Roman" w:hAnsi="Times New Roman" w:eastAsia="Times New Roman" w:cs="Times New Roman"/>
          <w:bCs/>
          <w:color w:val="000000"/>
          <w:sz w:val="24"/>
          <w:szCs w:val="24"/>
        </w:rPr>
        <w:t xml:space="preserve"> </w:t>
      </w:r>
      <w:r>
        <w:rPr>
          <w:rFonts w:ascii="Times New Roman" w:hAnsi="Times New Roman" w:cs="Times New Roman"/>
          <w:sz w:val="24"/>
          <w:szCs w:val="24"/>
        </w:rPr>
        <w:t>под слоем несортированного галечно-валунного материала мощностью до 0.55 м вскрываются разнозернистые разнообразно слоистые пески с прослоями, обогащёнными гравием и галькой. Из толщи таких песков получена ОСЛ-дата 17.9±1.1 тыс. лет (</w:t>
      </w:r>
      <w:r>
        <w:rPr>
          <w:rFonts w:ascii="Times New Roman" w:hAnsi="Times New Roman" w:cs="Times New Roman"/>
          <w:sz w:val="24"/>
          <w:szCs w:val="24"/>
          <w:highlight w:val="yellow"/>
        </w:rPr>
        <w:t>Табл.</w:t>
      </w:r>
      <w:r>
        <w:rPr>
          <w:rFonts w:ascii="Times New Roman" w:hAnsi="Times New Roman" w:cs="Times New Roman"/>
          <w:sz w:val="24"/>
          <w:szCs w:val="24"/>
        </w:rPr>
        <w:t xml:space="preserve">). </w:t>
      </w:r>
    </w:p>
    <w:p w14:paraId="4DC14885">
      <w:pPr>
        <w:pBdr>
          <w:top w:val="none" w:color="000000" w:sz="0" w:space="0"/>
          <w:left w:val="none" w:color="000000" w:sz="0" w:space="0"/>
          <w:bottom w:val="none" w:color="000000" w:sz="0" w:space="0"/>
          <w:right w:val="none" w:color="000000" w:sz="0" w:space="0"/>
        </w:pBd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Также для отложений, слагающих подобные тела, характерны разрывные нарушения сбросовой кинематики, а в отдельных случаях прослои и линзы серых и оливково-серых диамиктонов, преимущественно песчаного состава, с алевритом, гравием, галькой и редкими валунами. Диамиктоны могут образовывать сложные по форме тела в виде наклонных складок волочения и оползания, или разорванных складок с пережатым ядром (</w:t>
      </w:r>
      <w:commentRangeStart w:id="6"/>
      <w:r>
        <w:rPr>
          <w:rFonts w:ascii="Times New Roman" w:hAnsi="Times New Roman" w:cs="Times New Roman"/>
          <w:sz w:val="24"/>
          <w:szCs w:val="24"/>
          <w:highlight w:val="yellow"/>
        </w:rPr>
        <w:t>Зарецкая и др., 2025</w:t>
      </w:r>
      <w:commentRangeEnd w:id="6"/>
      <w:r>
        <w:rPr>
          <w:rStyle w:val="5"/>
          <w:rFonts w:ascii="Times New Roman" w:hAnsi="Times New Roman" w:cs="Times New Roman"/>
          <w:sz w:val="24"/>
          <w:szCs w:val="24"/>
        </w:rPr>
        <w:commentReference w:id="6"/>
      </w:r>
      <w:r>
        <w:rPr>
          <w:rFonts w:ascii="Times New Roman" w:hAnsi="Times New Roman" w:cs="Times New Roman"/>
          <w:sz w:val="24"/>
          <w:szCs w:val="24"/>
        </w:rPr>
        <w:t xml:space="preserve">). </w:t>
      </w:r>
    </w:p>
    <w:p w14:paraId="76361B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Типичное строение озовой гряды вскрыто карьером у дороги Кандалакша – Умба в 2.8 км к востоку от д. Колвица (67.083074 с.ш., 33.057329 в.д</w:t>
      </w:r>
      <w:r>
        <w:rPr>
          <w:rFonts w:ascii="Times New Roman" w:hAnsi="Times New Roman" w:cs="Times New Roman"/>
          <w:sz w:val="24"/>
          <w:szCs w:val="24"/>
          <w:highlight w:val="yellow"/>
        </w:rPr>
        <w:t>., 5 на Рис. 1</w:t>
      </w:r>
      <w:r>
        <w:rPr>
          <w:rFonts w:ascii="Times New Roman" w:hAnsi="Times New Roman" w:cs="Times New Roman"/>
          <w:sz w:val="24"/>
          <w:szCs w:val="24"/>
        </w:rPr>
        <w:t xml:space="preserve">). </w:t>
      </w:r>
    </w:p>
    <w:p w14:paraId="1C9D6BAB">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41141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114165"/>
                    </a:xfrm>
                    <a:prstGeom prst="rect">
                      <a:avLst/>
                    </a:prstGeom>
                  </pic:spPr>
                </pic:pic>
              </a:graphicData>
            </a:graphic>
          </wp:inline>
        </w:drawing>
      </w:r>
    </w:p>
    <w:p w14:paraId="4943B9CA">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highlight w:val="magenta"/>
          <w:lang w:val="en-US"/>
        </w:rPr>
        <w:t xml:space="preserve">Fig. </w:t>
      </w:r>
      <w:r>
        <w:rPr>
          <w:rFonts w:ascii="Times New Roman" w:hAnsi="Times New Roman" w:cs="Times New Roman"/>
          <w:b/>
          <w:bCs/>
          <w:sz w:val="24"/>
          <w:szCs w:val="24"/>
          <w:highlight w:val="magenta"/>
        </w:rPr>
        <w:t>Х</w:t>
      </w:r>
      <w:r>
        <w:rPr>
          <w:rFonts w:ascii="Times New Roman" w:hAnsi="Times New Roman" w:cs="Times New Roman"/>
          <w:b/>
          <w:bCs/>
          <w:sz w:val="24"/>
          <w:szCs w:val="24"/>
          <w:highlight w:val="magenta"/>
          <w:lang w:val="en-US"/>
        </w:rPr>
        <w:t>5</w:t>
      </w:r>
      <w:r>
        <w:rPr>
          <w:rFonts w:ascii="Times New Roman" w:hAnsi="Times New Roman" w:cs="Times New Roman"/>
          <w:sz w:val="24"/>
          <w:szCs w:val="24"/>
          <w:highlight w:val="magenta"/>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highlight w:val="yellow"/>
          <w:lang w:val="en-US"/>
        </w:rPr>
        <w:t>Sedimentary successions in the quarry. 1 – pebbles with gravel, boulders and mixed-grain sand; 2 – mixed-grain sand, unsorted, with pebbles and boulders; 3 – mixed-grain sand, with layers of gravel and pebbles; 4 – coarse- and medium-grain sand, with gravel and pebbles; 5 – fine- and medium-grained sand; 6 – fine-grained sand with silt layers; 7 – clayey silt with Mytilus shells and shell fragments; 8 – sections of quarry walls destroyed during mining.</w:t>
      </w:r>
    </w:p>
    <w:p w14:paraId="618157F0">
      <w:pPr>
        <w:spacing w:after="0" w:line="360" w:lineRule="auto"/>
        <w:jc w:val="both"/>
        <w:rPr>
          <w:rFonts w:ascii="Times New Roman" w:hAnsi="Times New Roman" w:cs="Times New Roman"/>
          <w:sz w:val="24"/>
          <w:szCs w:val="24"/>
          <w:lang w:val="en-US"/>
        </w:rPr>
      </w:pPr>
    </w:p>
    <w:p w14:paraId="59FF9C65">
      <w:pPr>
        <w:spacing w:after="0" w:line="360" w:lineRule="auto"/>
        <w:ind w:firstLine="709"/>
        <w:jc w:val="both"/>
        <w:rPr>
          <w:rFonts w:ascii="Times New Roman" w:hAnsi="Times New Roman"/>
          <w:sz w:val="24"/>
          <w:szCs w:val="24"/>
        </w:rPr>
      </w:pPr>
      <w:r>
        <w:rPr>
          <w:rFonts w:ascii="Times New Roman" w:hAnsi="Times New Roman" w:cs="Times New Roman"/>
          <w:sz w:val="24"/>
          <w:szCs w:val="24"/>
        </w:rPr>
        <w:t xml:space="preserve">В </w:t>
      </w:r>
      <w:r>
        <w:rPr>
          <w:rFonts w:ascii="Times New Roman" w:hAnsi="Times New Roman" w:cs="Times New Roman"/>
          <w:bCs/>
          <w:iCs/>
          <w:sz w:val="24"/>
          <w:szCs w:val="24"/>
        </w:rPr>
        <w:t>расчистке А</w:t>
      </w:r>
      <w:r>
        <w:rPr>
          <w:rFonts w:ascii="Times New Roman" w:hAnsi="Times New Roman" w:cs="Times New Roman"/>
          <w:sz w:val="24"/>
          <w:szCs w:val="24"/>
        </w:rPr>
        <w:t xml:space="preserve"> (</w:t>
      </w:r>
      <w:r>
        <w:rPr>
          <w:rFonts w:ascii="Times New Roman" w:hAnsi="Times New Roman" w:cs="Times New Roman"/>
          <w:sz w:val="24"/>
          <w:szCs w:val="24"/>
          <w:highlight w:val="yellow"/>
        </w:rPr>
        <w:t>Рис. Х5, а, б</w:t>
      </w:r>
      <w:r>
        <w:rPr>
          <w:rFonts w:ascii="Times New Roman" w:hAnsi="Times New Roman" w:cs="Times New Roman"/>
          <w:sz w:val="24"/>
          <w:szCs w:val="24"/>
        </w:rPr>
        <w:t>) верхняя часть разреза снизу вверх представлена ритмичнослоистыми осадками, перекрывающими мощную валунно-галечную толщу. В кровле этой толщи пространство между крупными обломками заполнено мелкозернистым алевритистым песком; вокруг обломков наблюдаются ожелезнения в виде корок. Также ожелезнения выполняют крупные трубки полихет (</w:t>
      </w:r>
      <w:r>
        <w:rPr>
          <w:rFonts w:ascii="Times New Roman" w:hAnsi="Times New Roman" w:cs="Times New Roman"/>
          <w:sz w:val="24"/>
          <w:szCs w:val="24"/>
          <w:highlight w:val="yellow"/>
        </w:rPr>
        <w:t xml:space="preserve">Fig. Х6, </w:t>
      </w:r>
      <w:r>
        <w:rPr>
          <w:rFonts w:ascii="Times New Roman" w:hAnsi="Times New Roman" w:cs="Times New Roman"/>
          <w:sz w:val="24"/>
          <w:szCs w:val="24"/>
          <w:highlight w:val="yellow"/>
          <w:lang w:val="en-US"/>
        </w:rPr>
        <w:t>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B</w:t>
      </w:r>
      <w:r>
        <w:rPr>
          <w:rFonts w:ascii="Times New Roman" w:hAnsi="Times New Roman" w:cs="Times New Roman"/>
          <w:sz w:val="24"/>
          <w:szCs w:val="24"/>
        </w:rPr>
        <w:t xml:space="preserve">), идентифицированных как ихнофоссилии червей семейства </w:t>
      </w:r>
      <w:r>
        <w:rPr>
          <w:rFonts w:ascii="Times New Roman" w:hAnsi="Times New Roman" w:cs="Times New Roman"/>
          <w:sz w:val="24"/>
          <w:szCs w:val="24"/>
          <w:lang w:val="en-US"/>
        </w:rPr>
        <w:t>Maldanidae</w:t>
      </w:r>
      <w:r>
        <w:rPr>
          <w:rFonts w:ascii="Times New Roman" w:hAnsi="Times New Roman" w:cs="Times New Roman"/>
          <w:sz w:val="24"/>
          <w:szCs w:val="24"/>
        </w:rPr>
        <w:t xml:space="preserve"> - </w:t>
      </w:r>
      <w:r>
        <w:rPr>
          <w:rFonts w:ascii="Times New Roman" w:hAnsi="Times New Roman" w:cs="Times New Roman"/>
          <w:i/>
          <w:iCs/>
          <w:sz w:val="24"/>
          <w:szCs w:val="24"/>
          <w:lang w:val="en-US"/>
        </w:rPr>
        <w:t>Nicomache</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minor</w:t>
      </w:r>
      <w:r>
        <w:rPr>
          <w:rFonts w:ascii="Times New Roman" w:hAnsi="Times New Roman"/>
          <w:sz w:val="24"/>
          <w:szCs w:val="24"/>
        </w:rPr>
        <w:t>.</w:t>
      </w:r>
    </w:p>
    <w:p w14:paraId="47844602">
      <w:pPr>
        <w:spacing w:after="0" w:line="360" w:lineRule="auto"/>
        <w:ind w:firstLine="709"/>
        <w:jc w:val="both"/>
        <w:rPr>
          <w:rFonts w:ascii="Times New Roman" w:hAnsi="Times New Roman"/>
          <w:sz w:val="24"/>
          <w:szCs w:val="24"/>
        </w:rPr>
      </w:pPr>
      <w:r>
        <w:rPr>
          <w:rFonts w:ascii="Times New Roman" w:hAnsi="Times New Roman" w:cs="Times New Roman"/>
          <w:sz w:val="24"/>
          <w:szCs w:val="24"/>
        </w:rPr>
        <w:t>Лежащая выше толща (2.2–1.0 м) представляет собой ритмичное переслаивание светло-серого тонко- и мелкозернистого песка и серого алеврита. Из нижней части этого слоя с глубины 2.0 м была получена ОСЛ-дата 15.5±2.3 (</w:t>
      </w:r>
      <w:r>
        <w:rPr>
          <w:rFonts w:ascii="Times New Roman" w:hAnsi="Times New Roman" w:cs="Times New Roman"/>
          <w:sz w:val="24"/>
          <w:szCs w:val="24"/>
          <w:lang w:val="en-GB"/>
        </w:rPr>
        <w:t>RGI</w:t>
      </w:r>
      <w:r>
        <w:rPr>
          <w:rFonts w:ascii="Times New Roman" w:hAnsi="Times New Roman" w:cs="Times New Roman"/>
          <w:sz w:val="24"/>
          <w:szCs w:val="24"/>
        </w:rPr>
        <w:t>-1213) (</w:t>
      </w:r>
      <w:r>
        <w:rPr>
          <w:rFonts w:ascii="Times New Roman" w:hAnsi="Times New Roman" w:cs="Times New Roman"/>
          <w:sz w:val="24"/>
          <w:szCs w:val="24"/>
          <w:lang w:val="en-US"/>
        </w:rPr>
        <w:t>T</w:t>
      </w:r>
      <w:r>
        <w:rPr>
          <w:rFonts w:ascii="Times New Roman" w:hAnsi="Times New Roman" w:cs="Times New Roman"/>
          <w:sz w:val="24"/>
          <w:szCs w:val="24"/>
          <w:highlight w:val="yellow"/>
          <w:lang w:val="en-US"/>
        </w:rPr>
        <w:t>able</w:t>
      </w:r>
      <w:r>
        <w:rPr>
          <w:rFonts w:ascii="Times New Roman" w:hAnsi="Times New Roman" w:cs="Times New Roman"/>
          <w:sz w:val="24"/>
          <w:szCs w:val="24"/>
        </w:rPr>
        <w:t xml:space="preserve"> 1). Выше залегают зеленовато-серые горизонтально слоистые алевриты с линзами тонкозернистого песка и многочисленными эуфоссилиями и ихнофоссилиями.</w:t>
      </w:r>
      <w:r>
        <w:rPr>
          <w:rFonts w:ascii="Times New Roman" w:hAnsi="Times New Roman" w:cs="Times New Roman"/>
          <w:sz w:val="24"/>
          <w:szCs w:val="24"/>
          <w:shd w:val="clear" w:color="auto" w:fill="FFFFFF"/>
        </w:rPr>
        <w:t xml:space="preserve"> </w:t>
      </w:r>
      <w:r>
        <w:rPr>
          <w:rFonts w:ascii="Times New Roman" w:hAnsi="Times New Roman"/>
          <w:sz w:val="24"/>
          <w:szCs w:val="24"/>
        </w:rPr>
        <w:t>Здесь в большом количестве представлены трубки полихет с очень характерной чередующейся укладкой светлых и темных частиц (</w:t>
      </w:r>
      <w:r>
        <w:rPr>
          <w:rFonts w:ascii="Times New Roman" w:hAnsi="Times New Roman"/>
          <w:sz w:val="24"/>
          <w:szCs w:val="24"/>
          <w:highlight w:val="yellow"/>
        </w:rPr>
        <w:t xml:space="preserve">Fig. Х6, </w:t>
      </w:r>
      <w:r>
        <w:rPr>
          <w:rFonts w:ascii="Times New Roman" w:hAnsi="Times New Roman"/>
          <w:sz w:val="24"/>
          <w:szCs w:val="24"/>
          <w:highlight w:val="yellow"/>
          <w:lang w:val="en-US"/>
        </w:rPr>
        <w:t>D</w:t>
      </w:r>
      <w:r>
        <w:rPr>
          <w:rFonts w:ascii="Times New Roman" w:hAnsi="Times New Roman"/>
          <w:sz w:val="24"/>
          <w:szCs w:val="24"/>
          <w:highlight w:val="yellow"/>
        </w:rPr>
        <w:t xml:space="preserve">, </w:t>
      </w:r>
      <w:r>
        <w:rPr>
          <w:rFonts w:ascii="Times New Roman" w:hAnsi="Times New Roman"/>
          <w:sz w:val="24"/>
          <w:szCs w:val="24"/>
          <w:highlight w:val="yellow"/>
          <w:lang w:val="en-US"/>
        </w:rPr>
        <w:t>E</w:t>
      </w:r>
      <w:r>
        <w:rPr>
          <w:rFonts w:ascii="Times New Roman" w:hAnsi="Times New Roman"/>
          <w:sz w:val="24"/>
          <w:szCs w:val="24"/>
        </w:rPr>
        <w:t xml:space="preserve">), устойчивые к механическому разрушению и типичные для </w:t>
      </w:r>
      <w:r>
        <w:rPr>
          <w:rFonts w:ascii="Times New Roman" w:hAnsi="Times New Roman"/>
          <w:i/>
          <w:iCs/>
          <w:sz w:val="24"/>
          <w:szCs w:val="24"/>
          <w:lang w:val="en-US"/>
        </w:rPr>
        <w:t>Galathowenia</w:t>
      </w:r>
      <w:r>
        <w:rPr>
          <w:rFonts w:ascii="Times New Roman" w:hAnsi="Times New Roman"/>
          <w:i/>
          <w:iCs/>
          <w:sz w:val="24"/>
          <w:szCs w:val="24"/>
        </w:rPr>
        <w:t xml:space="preserve"> </w:t>
      </w:r>
      <w:r>
        <w:rPr>
          <w:rFonts w:ascii="Times New Roman" w:hAnsi="Times New Roman"/>
          <w:i/>
          <w:iCs/>
          <w:sz w:val="24"/>
          <w:szCs w:val="24"/>
          <w:lang w:val="en-US"/>
        </w:rPr>
        <w:t>oculata</w:t>
      </w:r>
      <w:r>
        <w:rPr>
          <w:rFonts w:ascii="Times New Roman" w:hAnsi="Times New Roman"/>
          <w:sz w:val="24"/>
          <w:szCs w:val="24"/>
        </w:rPr>
        <w:t xml:space="preserve">, семейство </w:t>
      </w:r>
      <w:r>
        <w:rPr>
          <w:rFonts w:ascii="Times New Roman" w:hAnsi="Times New Roman"/>
          <w:sz w:val="24"/>
          <w:szCs w:val="24"/>
          <w:lang w:val="en-US"/>
        </w:rPr>
        <w:t>Oweniidae</w:t>
      </w:r>
      <w:r>
        <w:rPr>
          <w:rFonts w:ascii="Times New Roman" w:hAnsi="Times New Roman"/>
          <w:sz w:val="24"/>
          <w:szCs w:val="24"/>
        </w:rPr>
        <w:t>. В этом же слое встречены многочисленные фрагменты и практические целые периостракумы двустворчатых моллюсков (</w:t>
      </w:r>
      <w:r>
        <w:rPr>
          <w:rFonts w:ascii="Times New Roman" w:hAnsi="Times New Roman"/>
          <w:sz w:val="24"/>
          <w:szCs w:val="24"/>
          <w:highlight w:val="yellow"/>
        </w:rPr>
        <w:t xml:space="preserve">Fig. Х6, </w:t>
      </w:r>
      <w:r>
        <w:rPr>
          <w:rFonts w:ascii="Times New Roman" w:hAnsi="Times New Roman"/>
          <w:sz w:val="24"/>
          <w:szCs w:val="24"/>
          <w:highlight w:val="yellow"/>
          <w:lang w:val="en-US"/>
        </w:rPr>
        <w:t>D</w:t>
      </w:r>
      <w:r>
        <w:rPr>
          <w:rFonts w:ascii="Times New Roman" w:hAnsi="Times New Roman"/>
          <w:sz w:val="24"/>
          <w:szCs w:val="24"/>
          <w:highlight w:val="yellow"/>
        </w:rPr>
        <w:t>,</w:t>
      </w:r>
      <w:r>
        <w:rPr>
          <w:rFonts w:ascii="Times New Roman" w:hAnsi="Times New Roman"/>
          <w:sz w:val="24"/>
          <w:szCs w:val="24"/>
        </w:rPr>
        <w:t xml:space="preserve"> </w:t>
      </w:r>
      <w:r>
        <w:rPr>
          <w:rFonts w:ascii="Times New Roman" w:hAnsi="Times New Roman"/>
          <w:sz w:val="24"/>
          <w:szCs w:val="24"/>
          <w:lang w:val="en-US"/>
        </w:rPr>
        <w:t>E</w:t>
      </w:r>
      <w:r>
        <w:rPr>
          <w:rFonts w:ascii="Times New Roman" w:hAnsi="Times New Roman"/>
          <w:sz w:val="24"/>
          <w:szCs w:val="24"/>
        </w:rPr>
        <w:t xml:space="preserve">), надежно идентифицированных как </w:t>
      </w:r>
      <w:r>
        <w:rPr>
          <w:rFonts w:ascii="Times New Roman" w:hAnsi="Times New Roman"/>
          <w:i/>
          <w:iCs/>
          <w:sz w:val="24"/>
          <w:szCs w:val="24"/>
          <w:lang w:val="en-US"/>
        </w:rPr>
        <w:t>Portlandia</w:t>
      </w:r>
      <w:r>
        <w:rPr>
          <w:rFonts w:ascii="Times New Roman" w:hAnsi="Times New Roman"/>
          <w:i/>
          <w:iCs/>
          <w:sz w:val="24"/>
          <w:szCs w:val="24"/>
        </w:rPr>
        <w:t xml:space="preserve"> </w:t>
      </w:r>
      <w:r>
        <w:rPr>
          <w:rFonts w:ascii="Times New Roman" w:hAnsi="Times New Roman"/>
          <w:i/>
          <w:iCs/>
          <w:sz w:val="24"/>
          <w:szCs w:val="24"/>
          <w:lang w:val="en-US"/>
        </w:rPr>
        <w:t>arctica</w:t>
      </w:r>
      <w:r>
        <w:rPr>
          <w:rFonts w:ascii="Times New Roman" w:hAnsi="Times New Roman"/>
          <w:sz w:val="24"/>
          <w:szCs w:val="24"/>
        </w:rPr>
        <w:t>.</w:t>
      </w:r>
    </w:p>
    <w:p w14:paraId="61C136CE">
      <w:pPr>
        <w:spacing w:after="0" w:line="360" w:lineRule="auto"/>
        <w:jc w:val="both"/>
        <w:rPr>
          <w:rFonts w:ascii="Times New Roman" w:hAnsi="Times New Roman" w:cs="Times New Roman"/>
          <w:sz w:val="24"/>
          <w:szCs w:val="24"/>
        </w:rPr>
      </w:pPr>
    </w:p>
    <w:p w14:paraId="47A2075D">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75361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7536180"/>
                    </a:xfrm>
                    <a:prstGeom prst="rect">
                      <a:avLst/>
                    </a:prstGeom>
                  </pic:spPr>
                </pic:pic>
              </a:graphicData>
            </a:graphic>
          </wp:inline>
        </w:drawing>
      </w:r>
    </w:p>
    <w:p w14:paraId="1466C4F1">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highlight w:val="yellow"/>
          <w:lang w:val="en-US"/>
        </w:rPr>
        <w:t xml:space="preserve">Fig. </w:t>
      </w:r>
      <w:r>
        <w:rPr>
          <w:rFonts w:ascii="Times New Roman" w:hAnsi="Times New Roman" w:cs="Times New Roman"/>
          <w:b/>
          <w:bCs/>
          <w:sz w:val="24"/>
          <w:szCs w:val="24"/>
          <w:highlight w:val="yellow"/>
        </w:rPr>
        <w:t>Х</w:t>
      </w:r>
      <w:r>
        <w:rPr>
          <w:rFonts w:ascii="Times New Roman" w:hAnsi="Times New Roman" w:cs="Times New Roman"/>
          <w:b/>
          <w:bCs/>
          <w:sz w:val="24"/>
          <w:szCs w:val="24"/>
          <w:highlight w:val="yellow"/>
          <w:lang w:val="en-US"/>
        </w:rPr>
        <w:t>6</w:t>
      </w:r>
      <w:r>
        <w:rPr>
          <w:rFonts w:ascii="Times New Roman" w:hAnsi="Times New Roman" w:cs="Times New Roman"/>
          <w:sz w:val="24"/>
          <w:szCs w:val="24"/>
          <w:highlight w:val="yellow"/>
          <w:lang w:val="en-US"/>
        </w:rPr>
        <w:t>.</w:t>
      </w:r>
      <w:r>
        <w:rPr>
          <w:rFonts w:ascii="Times New Roman" w:hAnsi="Times New Roman" w:cs="Times New Roman"/>
          <w:sz w:val="24"/>
          <w:szCs w:val="24"/>
          <w:lang w:val="en-US"/>
        </w:rPr>
        <w:t xml:space="preserve"> Euphossils and ichnofossils found on the section. A. </w:t>
      </w:r>
      <w:r>
        <w:rPr>
          <w:rFonts w:ascii="Times New Roman" w:hAnsi="Times New Roman" w:cs="Times New Roman"/>
          <w:i/>
          <w:iCs/>
          <w:sz w:val="24"/>
          <w:szCs w:val="24"/>
          <w:lang w:val="en-US"/>
        </w:rPr>
        <w:t>Nicomache minor</w:t>
      </w:r>
      <w:r>
        <w:rPr>
          <w:rFonts w:ascii="Times New Roman" w:hAnsi="Times New Roman" w:cs="Times New Roman"/>
          <w:sz w:val="24"/>
          <w:szCs w:val="24"/>
          <w:lang w:val="en-US"/>
        </w:rPr>
        <w:t xml:space="preserve"> polychaeta tubes associated with bottom layer boulders. B. Cross-section of these tubes. C. Large bottom layer boulders. D. </w:t>
      </w:r>
      <w:r>
        <w:rPr>
          <w:rFonts w:ascii="Times New Roman" w:hAnsi="Times New Roman" w:cs="Times New Roman"/>
          <w:i/>
          <w:iCs/>
          <w:sz w:val="24"/>
          <w:szCs w:val="24"/>
          <w:lang w:val="en-US"/>
        </w:rPr>
        <w:t>Galathowenia oculata</w:t>
      </w:r>
      <w:r>
        <w:rPr>
          <w:rFonts w:ascii="Times New Roman" w:hAnsi="Times New Roman" w:cs="Times New Roman"/>
          <w:sz w:val="24"/>
          <w:szCs w:val="24"/>
          <w:lang w:val="en-US"/>
        </w:rPr>
        <w:t xml:space="preserve"> polychaeta tubes. E. The same tubes, inner surface. F. Conchilage of </w:t>
      </w:r>
      <w:r>
        <w:rPr>
          <w:rFonts w:ascii="Times New Roman" w:hAnsi="Times New Roman" w:cs="Times New Roman"/>
          <w:i/>
          <w:iCs/>
          <w:sz w:val="24"/>
          <w:szCs w:val="24"/>
          <w:lang w:val="en-US"/>
        </w:rPr>
        <w:t>Portlandia arctica</w:t>
      </w:r>
      <w:r>
        <w:rPr>
          <w:rFonts w:ascii="Times New Roman" w:hAnsi="Times New Roman" w:cs="Times New Roman"/>
          <w:sz w:val="24"/>
          <w:szCs w:val="24"/>
          <w:lang w:val="en-US"/>
        </w:rPr>
        <w:t xml:space="preserve">. G. Core of a bivalve mollusks, probably </w:t>
      </w:r>
      <w:r>
        <w:rPr>
          <w:rFonts w:ascii="Times New Roman" w:hAnsi="Times New Roman" w:cs="Times New Roman"/>
          <w:i/>
          <w:iCs/>
          <w:sz w:val="24"/>
          <w:szCs w:val="24"/>
          <w:lang w:val="en-US"/>
        </w:rPr>
        <w:t>Macoma sp.</w:t>
      </w:r>
      <w:r>
        <w:rPr>
          <w:rFonts w:ascii="Times New Roman" w:hAnsi="Times New Roman" w:cs="Times New Roman"/>
          <w:sz w:val="24"/>
          <w:szCs w:val="24"/>
          <w:lang w:val="en-US"/>
        </w:rPr>
        <w:t xml:space="preserve"> H. </w:t>
      </w:r>
      <w:r>
        <w:rPr>
          <w:rFonts w:ascii="Times New Roman" w:hAnsi="Times New Roman" w:cs="Times New Roman"/>
          <w:i/>
          <w:iCs/>
          <w:sz w:val="24"/>
          <w:szCs w:val="24"/>
          <w:lang w:val="en-US"/>
        </w:rPr>
        <w:t>Dipolydora quadrilobate</w:t>
      </w:r>
      <w:r>
        <w:rPr>
          <w:rFonts w:ascii="Times New Roman" w:hAnsi="Times New Roman" w:cs="Times New Roman"/>
          <w:sz w:val="24"/>
          <w:szCs w:val="24"/>
          <w:lang w:val="en-US"/>
        </w:rPr>
        <w:t xml:space="preserve"> tubes. Arrows indicate the position of the tubes. I. The same tubes, presumably </w:t>
      </w:r>
      <w:r>
        <w:rPr>
          <w:rFonts w:ascii="Times New Roman" w:hAnsi="Times New Roman" w:cs="Times New Roman"/>
          <w:i/>
          <w:iCs/>
          <w:sz w:val="24"/>
          <w:szCs w:val="24"/>
          <w:lang w:val="en-US"/>
        </w:rPr>
        <w:t>Dipolydora quadrilobata</w:t>
      </w:r>
      <w:r>
        <w:rPr>
          <w:rFonts w:ascii="Times New Roman" w:hAnsi="Times New Roman" w:cs="Times New Roman"/>
          <w:sz w:val="24"/>
          <w:szCs w:val="24"/>
          <w:lang w:val="en-US"/>
        </w:rPr>
        <w:t xml:space="preserve">, inner surface. J. Fragments of </w:t>
      </w:r>
      <w:r>
        <w:rPr>
          <w:rFonts w:ascii="Times New Roman" w:hAnsi="Times New Roman" w:cs="Times New Roman"/>
          <w:i/>
          <w:iCs/>
          <w:sz w:val="24"/>
          <w:szCs w:val="24"/>
          <w:lang w:val="en-US"/>
        </w:rPr>
        <w:t>Mytilus edulis</w:t>
      </w:r>
      <w:r>
        <w:rPr>
          <w:rFonts w:ascii="Times New Roman" w:hAnsi="Times New Roman" w:cs="Times New Roman"/>
          <w:sz w:val="24"/>
          <w:szCs w:val="24"/>
          <w:lang w:val="en-US"/>
        </w:rPr>
        <w:t xml:space="preserve"> shells. K. Mussel shell. The arrow indicates the shell layer.</w:t>
      </w:r>
    </w:p>
    <w:p w14:paraId="3C92590C">
      <w:pPr>
        <w:spacing w:after="0" w:line="360" w:lineRule="auto"/>
        <w:jc w:val="both"/>
        <w:rPr>
          <w:rFonts w:ascii="Times New Roman" w:hAnsi="Times New Roman" w:cs="Times New Roman"/>
          <w:sz w:val="24"/>
          <w:szCs w:val="24"/>
          <w:lang w:val="en-US"/>
        </w:rPr>
      </w:pPr>
    </w:p>
    <w:p w14:paraId="46C3DD3D">
      <w:pPr>
        <w:spacing w:after="0" w:line="360" w:lineRule="auto"/>
        <w:ind w:firstLine="709"/>
        <w:jc w:val="both"/>
        <w:rPr>
          <w:rFonts w:ascii="Times New Roman" w:hAnsi="Times New Roman"/>
          <w:sz w:val="24"/>
          <w:szCs w:val="24"/>
        </w:rPr>
      </w:pPr>
      <w:r>
        <w:rPr>
          <w:rFonts w:ascii="Times New Roman" w:hAnsi="Times New Roman"/>
          <w:sz w:val="24"/>
          <w:szCs w:val="24"/>
        </w:rPr>
        <w:t>В верхней части слоя частыми фоссилиями являются ядра двустворчатых моллюсков (оформленные конгломераты частиц грунта, лишенные кальцинированных створок) (</w:t>
      </w:r>
      <w:r>
        <w:rPr>
          <w:rFonts w:ascii="Times New Roman" w:hAnsi="Times New Roman"/>
          <w:sz w:val="24"/>
          <w:szCs w:val="24"/>
          <w:highlight w:val="yellow"/>
          <w:lang w:val="en-US"/>
        </w:rPr>
        <w:t>Fig</w:t>
      </w:r>
      <w:r>
        <w:rPr>
          <w:rFonts w:ascii="Times New Roman" w:hAnsi="Times New Roman"/>
          <w:sz w:val="24"/>
          <w:szCs w:val="24"/>
          <w:highlight w:val="yellow"/>
        </w:rPr>
        <w:t xml:space="preserve">. Х6, </w:t>
      </w:r>
      <w:r>
        <w:rPr>
          <w:rFonts w:ascii="Times New Roman" w:hAnsi="Times New Roman"/>
          <w:sz w:val="24"/>
          <w:szCs w:val="24"/>
          <w:highlight w:val="yellow"/>
          <w:lang w:val="en-US"/>
        </w:rPr>
        <w:t>G</w:t>
      </w:r>
      <w:r>
        <w:rPr>
          <w:rFonts w:ascii="Times New Roman" w:hAnsi="Times New Roman"/>
          <w:sz w:val="24"/>
          <w:szCs w:val="24"/>
        </w:rPr>
        <w:t>), в ассоциации с многочисленными трубками мелких полихет (</w:t>
      </w:r>
      <w:r>
        <w:rPr>
          <w:rFonts w:ascii="Times New Roman" w:hAnsi="Times New Roman"/>
          <w:sz w:val="24"/>
          <w:szCs w:val="24"/>
          <w:highlight w:val="yellow"/>
          <w:lang w:val="en-US"/>
        </w:rPr>
        <w:t>Fig</w:t>
      </w:r>
      <w:r>
        <w:rPr>
          <w:rFonts w:ascii="Times New Roman" w:hAnsi="Times New Roman"/>
          <w:sz w:val="24"/>
          <w:szCs w:val="24"/>
          <w:highlight w:val="yellow"/>
        </w:rPr>
        <w:t xml:space="preserve">. Х6, </w:t>
      </w:r>
      <w:r>
        <w:rPr>
          <w:rFonts w:ascii="Times New Roman" w:hAnsi="Times New Roman"/>
          <w:sz w:val="24"/>
          <w:szCs w:val="24"/>
          <w:highlight w:val="yellow"/>
          <w:lang w:val="en-US"/>
        </w:rPr>
        <w:t>H</w:t>
      </w:r>
      <w:r>
        <w:rPr>
          <w:rFonts w:ascii="Times New Roman" w:hAnsi="Times New Roman"/>
          <w:sz w:val="24"/>
          <w:szCs w:val="24"/>
        </w:rPr>
        <w:t>).</w:t>
      </w:r>
      <w:commentRangeStart w:id="7"/>
      <w:r>
        <w:rPr>
          <w:rFonts w:ascii="Times New Roman" w:hAnsi="Times New Roman"/>
          <w:sz w:val="24"/>
          <w:szCs w:val="24"/>
        </w:rPr>
        <w:t xml:space="preserve"> Форма ядер соответствуют форме раковины </w:t>
      </w:r>
      <w:r>
        <w:rPr>
          <w:rFonts w:ascii="Times New Roman" w:hAnsi="Times New Roman"/>
          <w:i/>
          <w:iCs/>
          <w:sz w:val="24"/>
          <w:szCs w:val="24"/>
          <w:lang w:val="en-US"/>
        </w:rPr>
        <w:t>Macoma</w:t>
      </w:r>
      <w:r>
        <w:rPr>
          <w:rFonts w:ascii="Times New Roman" w:hAnsi="Times New Roman"/>
          <w:i/>
          <w:iCs/>
          <w:sz w:val="24"/>
          <w:szCs w:val="24"/>
        </w:rPr>
        <w:t xml:space="preserve"> </w:t>
      </w:r>
      <w:r>
        <w:rPr>
          <w:rFonts w:ascii="Times New Roman" w:hAnsi="Times New Roman"/>
          <w:i/>
          <w:iCs/>
          <w:sz w:val="24"/>
          <w:szCs w:val="24"/>
          <w:lang w:val="en-US"/>
        </w:rPr>
        <w:t>sp</w:t>
      </w:r>
      <w:r>
        <w:rPr>
          <w:rFonts w:ascii="Times New Roman" w:hAnsi="Times New Roman"/>
          <w:sz w:val="24"/>
          <w:szCs w:val="24"/>
        </w:rPr>
        <w:t>.</w:t>
      </w:r>
      <w:commentRangeStart w:id="8"/>
      <w:r>
        <w:rPr>
          <w:rFonts w:ascii="Times New Roman" w:hAnsi="Times New Roman"/>
          <w:sz w:val="24"/>
          <w:szCs w:val="24"/>
        </w:rPr>
        <w:t xml:space="preserve"> В современной фауне Белого моря мягкие грунты верхних отделов сублиторали заселяют два вида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balthica</w:t>
      </w:r>
      <w:r>
        <w:rPr>
          <w:rFonts w:ascii="Times New Roman" w:hAnsi="Times New Roman"/>
          <w:sz w:val="24"/>
          <w:szCs w:val="24"/>
        </w:rPr>
        <w:t xml:space="preserve"> и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calcarea</w:t>
      </w:r>
      <w:r>
        <w:rPr>
          <w:rFonts w:ascii="Times New Roman" w:hAnsi="Times New Roman"/>
          <w:sz w:val="24"/>
          <w:szCs w:val="24"/>
        </w:rPr>
        <w:t xml:space="preserve">, формирующие ассоциацию с полихетами семейства </w:t>
      </w:r>
      <w:r>
        <w:rPr>
          <w:rFonts w:ascii="Times New Roman" w:hAnsi="Times New Roman"/>
          <w:sz w:val="24"/>
          <w:szCs w:val="24"/>
          <w:lang w:val="en-US"/>
        </w:rPr>
        <w:t>Spionidae</w:t>
      </w:r>
      <w:r>
        <w:rPr>
          <w:rFonts w:ascii="Times New Roman" w:hAnsi="Times New Roman"/>
          <w:sz w:val="24"/>
          <w:szCs w:val="24"/>
        </w:rPr>
        <w:t xml:space="preserve">. По характеру расположения в грунте (плотные скопления трубок, «сплетения» трубок, идущих в толще грунта в разных направлениях), размерам и наличию характерной выстилки из мелких частиц внутри трубки («обои») эти ихнофоссилии соответствуют рецентным плотным поселениям </w:t>
      </w:r>
      <w:r>
        <w:rPr>
          <w:rFonts w:ascii="Times New Roman" w:hAnsi="Times New Roman"/>
          <w:i/>
          <w:iCs/>
          <w:sz w:val="24"/>
          <w:szCs w:val="24"/>
          <w:lang w:val="en-US"/>
        </w:rPr>
        <w:t>Dipolydora</w:t>
      </w:r>
      <w:r>
        <w:rPr>
          <w:rFonts w:ascii="Times New Roman" w:hAnsi="Times New Roman"/>
          <w:i/>
          <w:iCs/>
          <w:sz w:val="24"/>
          <w:szCs w:val="24"/>
        </w:rPr>
        <w:t xml:space="preserve"> </w:t>
      </w:r>
      <w:r>
        <w:rPr>
          <w:rFonts w:ascii="Times New Roman" w:hAnsi="Times New Roman"/>
          <w:i/>
          <w:iCs/>
          <w:sz w:val="24"/>
          <w:szCs w:val="24"/>
          <w:lang w:val="en-US"/>
        </w:rPr>
        <w:t>quadrilobata</w:t>
      </w:r>
      <w:commentRangeEnd w:id="8"/>
      <w:r>
        <w:rPr>
          <w:rStyle w:val="5"/>
          <w:rFonts w:ascii="Times New Roman" w:hAnsi="Times New Roman"/>
          <w:sz w:val="24"/>
          <w:szCs w:val="24"/>
        </w:rPr>
        <w:commentReference w:id="8"/>
      </w:r>
      <w:r>
        <w:rPr>
          <w:rFonts w:ascii="Times New Roman" w:hAnsi="Times New Roman"/>
          <w:sz w:val="24"/>
          <w:szCs w:val="24"/>
        </w:rPr>
        <w:t>.</w:t>
      </w:r>
      <w:commentRangeEnd w:id="7"/>
      <w:r>
        <w:commentReference w:id="7"/>
      </w:r>
      <w:r>
        <w:rPr>
          <w:rFonts w:ascii="Times New Roman" w:hAnsi="Times New Roman"/>
          <w:sz w:val="24"/>
          <w:szCs w:val="24"/>
        </w:rPr>
        <w:t xml:space="preserve"> В верхних 0.2 м слоя остатки/следы фауны не обнаружены.</w:t>
      </w:r>
    </w:p>
    <w:p w14:paraId="4228E732">
      <w:pPr>
        <w:spacing w:after="0" w:line="360" w:lineRule="auto"/>
        <w:ind w:firstLine="709"/>
        <w:jc w:val="both"/>
        <w:rPr>
          <w:rFonts w:ascii="Times New Roman" w:hAnsi="Times New Roman"/>
          <w:sz w:val="24"/>
          <w:szCs w:val="24"/>
        </w:rPr>
      </w:pPr>
    </w:p>
    <w:p w14:paraId="392C5D6E">
      <w:pPr>
        <w:spacing w:after="0" w:line="360" w:lineRule="auto"/>
        <w:ind w:firstLine="709"/>
        <w:jc w:val="both"/>
        <w:rPr>
          <w:rFonts w:hint="default" w:ascii="Times New Roman" w:hAnsi="Times New Roman"/>
          <w:i/>
          <w:iCs/>
          <w:sz w:val="24"/>
          <w:szCs w:val="24"/>
          <w:highlight w:val="green"/>
          <w:lang w:val="ru-RU"/>
        </w:rPr>
      </w:pPr>
      <w:r>
        <w:rPr>
          <w:rFonts w:ascii="Times New Roman" w:hAnsi="Times New Roman"/>
          <w:i/>
          <w:iCs/>
          <w:sz w:val="24"/>
          <w:szCs w:val="24"/>
          <w:highlight w:val="green"/>
          <w:lang w:val="ru-RU"/>
        </w:rPr>
        <w:t>Наташа</w:t>
      </w:r>
      <w:r>
        <w:rPr>
          <w:rFonts w:hint="default" w:ascii="Times New Roman" w:hAnsi="Times New Roman"/>
          <w:i/>
          <w:iCs/>
          <w:sz w:val="24"/>
          <w:szCs w:val="24"/>
          <w:highlight w:val="green"/>
          <w:lang w:val="ru-RU"/>
        </w:rPr>
        <w:t xml:space="preserve">! </w:t>
      </w:r>
    </w:p>
    <w:p w14:paraId="73F5E728">
      <w:pPr>
        <w:spacing w:after="0" w:line="360" w:lineRule="auto"/>
        <w:ind w:firstLine="709"/>
        <w:jc w:val="both"/>
        <w:rPr>
          <w:rFonts w:hint="default" w:ascii="Times New Roman" w:hAnsi="Times New Roman"/>
          <w:sz w:val="24"/>
          <w:szCs w:val="24"/>
          <w:highlight w:val="green"/>
          <w:lang w:val="ru-RU"/>
        </w:rPr>
      </w:pPr>
      <w:r>
        <w:rPr>
          <w:rFonts w:hint="default" w:ascii="Times New Roman" w:hAnsi="Times New Roman"/>
          <w:i/>
          <w:iCs/>
          <w:sz w:val="24"/>
          <w:szCs w:val="24"/>
          <w:highlight w:val="green"/>
          <w:lang w:val="ru-RU"/>
        </w:rPr>
        <w:t>Было бы хорошо, если бы получилось сопрячь геологическую реконструкцию глубины водоема с тем, что получается при оценке глубины по рецентным формам. По сути, это единственное место, где описывается палеосукцессия бентоса. Было бы жалко выкинуть</w:t>
      </w:r>
      <w:r>
        <w:rPr>
          <w:rFonts w:hint="default" w:ascii="Times New Roman" w:hAnsi="Times New Roman"/>
          <w:sz w:val="24"/>
          <w:szCs w:val="24"/>
          <w:highlight w:val="green"/>
          <w:lang w:val="ru-RU"/>
        </w:rPr>
        <w:t>.</w:t>
      </w:r>
    </w:p>
    <w:p w14:paraId="4B7D6957">
      <w:pPr>
        <w:spacing w:after="0" w:line="360" w:lineRule="auto"/>
        <w:ind w:firstLine="709"/>
        <w:jc w:val="both"/>
        <w:rPr>
          <w:rFonts w:hint="default" w:ascii="Times New Roman" w:hAnsi="Times New Roman"/>
          <w:sz w:val="24"/>
          <w:szCs w:val="24"/>
          <w:highlight w:val="yellow"/>
          <w:lang w:val="ru-RU"/>
        </w:rPr>
      </w:pPr>
    </w:p>
    <w:p w14:paraId="2B99873D">
      <w:pPr>
        <w:spacing w:after="0" w:line="240" w:lineRule="auto"/>
        <w:ind w:firstLine="709"/>
        <w:jc w:val="both"/>
        <w:rPr>
          <w:rFonts w:hint="default" w:ascii="Times New Roman" w:hAnsi="Times New Roman" w:cs="Times New Roman"/>
          <w:sz w:val="24"/>
          <w:szCs w:val="24"/>
          <w:highlight w:val="green"/>
          <w:lang w:val="ru-RU"/>
        </w:rPr>
      </w:pPr>
      <w:r>
        <w:rPr>
          <w:rFonts w:hint="default" w:ascii="Times New Roman" w:hAnsi="Times New Roman" w:cs="Times New Roman"/>
          <w:sz w:val="24"/>
          <w:szCs w:val="24"/>
          <w:highlight w:val="green"/>
          <w:lang w:val="ru-RU"/>
        </w:rPr>
        <w:t xml:space="preserve">Таблица ++.  Глубина обитания рецентных видов беспозвоночных, отмеченных в разных слоях разреза. </w:t>
      </w:r>
    </w:p>
    <w:tbl>
      <w:tblPr>
        <w:tblStyle w:val="4"/>
        <w:tblW w:w="86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91"/>
        <w:gridCol w:w="1256"/>
        <w:gridCol w:w="2591"/>
        <w:gridCol w:w="2239"/>
      </w:tblGrid>
      <w:tr w14:paraId="1AE43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023BDE09">
            <w:pPr>
              <w:keepNext w:val="0"/>
              <w:keepLines w:val="0"/>
              <w:widowControl/>
              <w:suppressLineNumbers w:val="0"/>
              <w:jc w:val="left"/>
              <w:textAlignment w:val="center"/>
              <w:rPr>
                <w:rFonts w:hint="default" w:ascii="Calibri" w:hAnsi="Calibri" w:cs="Calibri"/>
                <w:i w:val="0"/>
                <w:iCs w:val="0"/>
                <w:color w:val="000000"/>
                <w:highlight w:val="green"/>
                <w:u w:val="none"/>
                <w:lang w:val="ru-RU"/>
              </w:rPr>
            </w:pPr>
            <w:r>
              <w:rPr>
                <w:rFonts w:hint="default" w:ascii="Calibri" w:hAnsi="Calibri" w:eastAsia="SimSun" w:cs="Calibri"/>
                <w:i w:val="0"/>
                <w:iCs w:val="0"/>
                <w:color w:val="000000"/>
                <w:kern w:val="0"/>
                <w:sz w:val="24"/>
                <w:szCs w:val="24"/>
                <w:highlight w:val="green"/>
                <w:u w:val="none"/>
                <w:lang w:val="ru-RU" w:eastAsia="zh-CN" w:bidi="ar"/>
              </w:rPr>
              <w:t>Вид</w:t>
            </w:r>
          </w:p>
        </w:tc>
        <w:tc>
          <w:tcPr>
            <w:tcW w:w="1256" w:type="dxa"/>
            <w:tcBorders>
              <w:top w:val="nil"/>
              <w:left w:val="nil"/>
              <w:bottom w:val="nil"/>
              <w:right w:val="nil"/>
            </w:tcBorders>
            <w:shd w:val="clear" w:color="auto" w:fill="auto"/>
            <w:noWrap/>
            <w:vAlign w:val="center"/>
          </w:tcPr>
          <w:p w14:paraId="648F5BA5">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Number of OBIS references</w:t>
            </w:r>
          </w:p>
        </w:tc>
        <w:tc>
          <w:tcPr>
            <w:tcW w:w="2591" w:type="dxa"/>
            <w:tcBorders>
              <w:top w:val="nil"/>
              <w:left w:val="nil"/>
              <w:bottom w:val="nil"/>
              <w:right w:val="nil"/>
            </w:tcBorders>
            <w:shd w:val="clear" w:color="auto" w:fill="auto"/>
            <w:noWrap/>
            <w:vAlign w:val="center"/>
          </w:tcPr>
          <w:p w14:paraId="50C55057">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ru-RU" w:eastAsia="zh-CN" w:bidi="ar"/>
              </w:rPr>
              <w:t xml:space="preserve">Медиана глубины обитания рецентного вида </w:t>
            </w:r>
            <w:r>
              <w:rPr>
                <w:rFonts w:hint="default" w:ascii="Calibri" w:hAnsi="Calibri" w:eastAsia="SimSun" w:cs="Calibri"/>
                <w:i w:val="0"/>
                <w:iCs w:val="0"/>
                <w:color w:val="000000"/>
                <w:kern w:val="0"/>
                <w:sz w:val="24"/>
                <w:szCs w:val="24"/>
                <w:highlight w:val="green"/>
                <w:u w:val="none"/>
                <w:lang w:val="en-US" w:eastAsia="zh-CN" w:bidi="ar"/>
              </w:rPr>
              <w:t>(</w:t>
            </w:r>
            <w:r>
              <w:rPr>
                <w:rFonts w:hint="default" w:ascii="Calibri" w:hAnsi="Calibri" w:eastAsia="SimSun" w:cs="Calibri"/>
                <w:i w:val="0"/>
                <w:iCs w:val="0"/>
                <w:color w:val="000000"/>
                <w:kern w:val="0"/>
                <w:sz w:val="24"/>
                <w:szCs w:val="24"/>
                <w:highlight w:val="green"/>
                <w:u w:val="none"/>
                <w:lang w:val="ru-RU" w:eastAsia="zh-CN" w:bidi="ar"/>
              </w:rPr>
              <w:t>м</w:t>
            </w:r>
            <w:r>
              <w:rPr>
                <w:rFonts w:hint="default" w:ascii="Calibri" w:hAnsi="Calibri" w:eastAsia="SimSun" w:cs="Calibri"/>
                <w:i w:val="0"/>
                <w:iCs w:val="0"/>
                <w:color w:val="000000"/>
                <w:kern w:val="0"/>
                <w:sz w:val="24"/>
                <w:szCs w:val="24"/>
                <w:highlight w:val="green"/>
                <w:u w:val="none"/>
                <w:lang w:val="en-US" w:eastAsia="zh-CN" w:bidi="ar"/>
              </w:rPr>
              <w:t>)</w:t>
            </w:r>
          </w:p>
        </w:tc>
        <w:tc>
          <w:tcPr>
            <w:tcW w:w="2239" w:type="dxa"/>
            <w:tcBorders>
              <w:top w:val="nil"/>
              <w:left w:val="nil"/>
              <w:bottom w:val="nil"/>
              <w:right w:val="nil"/>
            </w:tcBorders>
            <w:shd w:val="clear" w:color="auto" w:fill="auto"/>
            <w:noWrap/>
            <w:vAlign w:val="center"/>
          </w:tcPr>
          <w:p w14:paraId="6AA3A6BA">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ru-RU" w:eastAsia="zh-CN" w:bidi="ar"/>
              </w:rPr>
              <w:t xml:space="preserve">Медиана глубины слоя, где встречены фоссилии </w:t>
            </w:r>
            <w:r>
              <w:rPr>
                <w:rFonts w:hint="default" w:ascii="Calibri" w:hAnsi="Calibri" w:eastAsia="SimSun" w:cs="Calibri"/>
                <w:i w:val="0"/>
                <w:iCs w:val="0"/>
                <w:color w:val="000000"/>
                <w:kern w:val="0"/>
                <w:sz w:val="24"/>
                <w:szCs w:val="24"/>
                <w:highlight w:val="green"/>
                <w:u w:val="none"/>
                <w:lang w:val="en-US" w:eastAsia="zh-CN" w:bidi="ar"/>
              </w:rPr>
              <w:t>(</w:t>
            </w:r>
            <w:r>
              <w:rPr>
                <w:rFonts w:hint="default" w:ascii="Calibri" w:hAnsi="Calibri" w:eastAsia="SimSun" w:cs="Calibri"/>
                <w:i w:val="0"/>
                <w:iCs w:val="0"/>
                <w:color w:val="000000"/>
                <w:kern w:val="0"/>
                <w:sz w:val="24"/>
                <w:szCs w:val="24"/>
                <w:highlight w:val="green"/>
                <w:u w:val="none"/>
                <w:lang w:val="ru-RU" w:eastAsia="zh-CN" w:bidi="ar"/>
              </w:rPr>
              <w:t>см от поверхности</w:t>
            </w:r>
            <w:r>
              <w:rPr>
                <w:rFonts w:hint="default" w:ascii="Calibri" w:hAnsi="Calibri" w:eastAsia="SimSun" w:cs="Calibri"/>
                <w:i w:val="0"/>
                <w:iCs w:val="0"/>
                <w:color w:val="000000"/>
                <w:kern w:val="0"/>
                <w:sz w:val="24"/>
                <w:szCs w:val="24"/>
                <w:highlight w:val="green"/>
                <w:u w:val="none"/>
                <w:lang w:val="en-US" w:eastAsia="zh-CN" w:bidi="ar"/>
              </w:rPr>
              <w:t>)</w:t>
            </w:r>
          </w:p>
        </w:tc>
      </w:tr>
      <w:tr w14:paraId="72B5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112AA679">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Mytilus edulis</w:t>
            </w:r>
          </w:p>
        </w:tc>
        <w:tc>
          <w:tcPr>
            <w:tcW w:w="1256" w:type="dxa"/>
            <w:tcBorders>
              <w:top w:val="nil"/>
              <w:left w:val="nil"/>
              <w:bottom w:val="nil"/>
              <w:right w:val="nil"/>
            </w:tcBorders>
            <w:shd w:val="clear" w:color="auto" w:fill="auto"/>
            <w:noWrap/>
            <w:vAlign w:val="center"/>
          </w:tcPr>
          <w:p w14:paraId="5C60CAA0">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4529</w:t>
            </w:r>
          </w:p>
        </w:tc>
        <w:tc>
          <w:tcPr>
            <w:tcW w:w="2591" w:type="dxa"/>
            <w:tcBorders>
              <w:top w:val="nil"/>
              <w:left w:val="nil"/>
              <w:bottom w:val="nil"/>
              <w:right w:val="nil"/>
            </w:tcBorders>
            <w:shd w:val="clear" w:color="auto" w:fill="auto"/>
            <w:noWrap/>
            <w:vAlign w:val="center"/>
          </w:tcPr>
          <w:p w14:paraId="61B17B48">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10 </w:t>
            </w:r>
          </w:p>
        </w:tc>
        <w:tc>
          <w:tcPr>
            <w:tcW w:w="2239" w:type="dxa"/>
            <w:tcBorders>
              <w:top w:val="nil"/>
              <w:left w:val="nil"/>
              <w:bottom w:val="nil"/>
              <w:right w:val="nil"/>
            </w:tcBorders>
            <w:shd w:val="clear" w:color="auto" w:fill="auto"/>
            <w:noWrap/>
            <w:vAlign w:val="center"/>
          </w:tcPr>
          <w:p w14:paraId="7801BFB1">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45</w:t>
            </w:r>
          </w:p>
        </w:tc>
      </w:tr>
      <w:tr w14:paraId="6C6D8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25E43BE3">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Dipolydora quadrilobata</w:t>
            </w:r>
          </w:p>
        </w:tc>
        <w:tc>
          <w:tcPr>
            <w:tcW w:w="1256" w:type="dxa"/>
            <w:tcBorders>
              <w:top w:val="nil"/>
              <w:left w:val="nil"/>
              <w:bottom w:val="nil"/>
              <w:right w:val="nil"/>
            </w:tcBorders>
            <w:shd w:val="clear" w:color="auto" w:fill="auto"/>
            <w:noWrap/>
            <w:vAlign w:val="center"/>
          </w:tcPr>
          <w:p w14:paraId="0D9CAE45">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369</w:t>
            </w:r>
          </w:p>
        </w:tc>
        <w:tc>
          <w:tcPr>
            <w:tcW w:w="2591" w:type="dxa"/>
            <w:tcBorders>
              <w:top w:val="nil"/>
              <w:left w:val="nil"/>
              <w:bottom w:val="nil"/>
              <w:right w:val="nil"/>
            </w:tcBorders>
            <w:shd w:val="clear" w:color="auto" w:fill="auto"/>
            <w:noWrap/>
            <w:vAlign w:val="center"/>
          </w:tcPr>
          <w:p w14:paraId="3552F242">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19 </w:t>
            </w:r>
          </w:p>
        </w:tc>
        <w:tc>
          <w:tcPr>
            <w:tcW w:w="2239" w:type="dxa"/>
            <w:tcBorders>
              <w:top w:val="nil"/>
              <w:left w:val="nil"/>
              <w:bottom w:val="nil"/>
              <w:right w:val="nil"/>
            </w:tcBorders>
            <w:shd w:val="clear" w:color="auto" w:fill="auto"/>
            <w:noWrap/>
            <w:vAlign w:val="center"/>
          </w:tcPr>
          <w:p w14:paraId="3A5B1242">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80</w:t>
            </w:r>
          </w:p>
        </w:tc>
      </w:tr>
      <w:tr w14:paraId="4C48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633128C6">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Galathowenia oculata</w:t>
            </w:r>
          </w:p>
        </w:tc>
        <w:tc>
          <w:tcPr>
            <w:tcW w:w="1256" w:type="dxa"/>
            <w:tcBorders>
              <w:top w:val="nil"/>
              <w:left w:val="nil"/>
              <w:bottom w:val="nil"/>
              <w:right w:val="nil"/>
            </w:tcBorders>
            <w:shd w:val="clear" w:color="auto" w:fill="auto"/>
            <w:noWrap/>
            <w:vAlign w:val="center"/>
          </w:tcPr>
          <w:p w14:paraId="1920CE94">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13616</w:t>
            </w:r>
          </w:p>
        </w:tc>
        <w:tc>
          <w:tcPr>
            <w:tcW w:w="2591" w:type="dxa"/>
            <w:tcBorders>
              <w:top w:val="nil"/>
              <w:left w:val="nil"/>
              <w:bottom w:val="nil"/>
              <w:right w:val="nil"/>
            </w:tcBorders>
            <w:shd w:val="clear" w:color="auto" w:fill="auto"/>
            <w:noWrap/>
            <w:vAlign w:val="center"/>
          </w:tcPr>
          <w:p w14:paraId="7DB1A249">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171 </w:t>
            </w:r>
          </w:p>
        </w:tc>
        <w:tc>
          <w:tcPr>
            <w:tcW w:w="2239" w:type="dxa"/>
            <w:tcBorders>
              <w:top w:val="nil"/>
              <w:left w:val="nil"/>
              <w:bottom w:val="nil"/>
              <w:right w:val="nil"/>
            </w:tcBorders>
            <w:shd w:val="clear" w:color="auto" w:fill="auto"/>
            <w:noWrap/>
            <w:vAlign w:val="center"/>
          </w:tcPr>
          <w:p w14:paraId="278F0F83">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140</w:t>
            </w:r>
          </w:p>
        </w:tc>
      </w:tr>
      <w:tr w14:paraId="6118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22B9177E">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Portlandia arctica</w:t>
            </w:r>
          </w:p>
        </w:tc>
        <w:tc>
          <w:tcPr>
            <w:tcW w:w="1256" w:type="dxa"/>
            <w:tcBorders>
              <w:top w:val="nil"/>
              <w:left w:val="nil"/>
              <w:bottom w:val="nil"/>
              <w:right w:val="nil"/>
            </w:tcBorders>
            <w:shd w:val="clear" w:color="auto" w:fill="auto"/>
            <w:noWrap/>
            <w:vAlign w:val="center"/>
          </w:tcPr>
          <w:p w14:paraId="7D64A256">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301</w:t>
            </w:r>
          </w:p>
        </w:tc>
        <w:tc>
          <w:tcPr>
            <w:tcW w:w="2591" w:type="dxa"/>
            <w:tcBorders>
              <w:top w:val="nil"/>
              <w:left w:val="nil"/>
              <w:bottom w:val="nil"/>
              <w:right w:val="nil"/>
            </w:tcBorders>
            <w:shd w:val="clear" w:color="auto" w:fill="auto"/>
            <w:noWrap/>
            <w:vAlign w:val="center"/>
          </w:tcPr>
          <w:p w14:paraId="0C449E8F">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25 </w:t>
            </w:r>
          </w:p>
        </w:tc>
        <w:tc>
          <w:tcPr>
            <w:tcW w:w="2239" w:type="dxa"/>
            <w:tcBorders>
              <w:top w:val="nil"/>
              <w:left w:val="nil"/>
              <w:bottom w:val="nil"/>
              <w:right w:val="nil"/>
            </w:tcBorders>
            <w:shd w:val="clear" w:color="auto" w:fill="auto"/>
            <w:noWrap/>
            <w:vAlign w:val="center"/>
          </w:tcPr>
          <w:p w14:paraId="6CDD4954">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140</w:t>
            </w:r>
          </w:p>
        </w:tc>
      </w:tr>
      <w:tr w14:paraId="0FE01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2591" w:type="dxa"/>
            <w:tcBorders>
              <w:top w:val="nil"/>
              <w:left w:val="nil"/>
              <w:bottom w:val="nil"/>
              <w:right w:val="nil"/>
            </w:tcBorders>
            <w:shd w:val="clear" w:color="auto" w:fill="auto"/>
            <w:noWrap/>
            <w:vAlign w:val="center"/>
          </w:tcPr>
          <w:p w14:paraId="3F06AEC0">
            <w:pPr>
              <w:keepNext w:val="0"/>
              <w:keepLines w:val="0"/>
              <w:widowControl/>
              <w:suppressLineNumbers w:val="0"/>
              <w:jc w:val="lef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Nicomache minor</w:t>
            </w:r>
          </w:p>
        </w:tc>
        <w:tc>
          <w:tcPr>
            <w:tcW w:w="1256" w:type="dxa"/>
            <w:tcBorders>
              <w:top w:val="nil"/>
              <w:left w:val="nil"/>
              <w:bottom w:val="nil"/>
              <w:right w:val="nil"/>
            </w:tcBorders>
            <w:shd w:val="clear" w:color="auto" w:fill="auto"/>
            <w:noWrap/>
            <w:vAlign w:val="center"/>
          </w:tcPr>
          <w:p w14:paraId="29432657">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23</w:t>
            </w:r>
          </w:p>
        </w:tc>
        <w:tc>
          <w:tcPr>
            <w:tcW w:w="2591" w:type="dxa"/>
            <w:tcBorders>
              <w:top w:val="nil"/>
              <w:left w:val="nil"/>
              <w:bottom w:val="nil"/>
              <w:right w:val="nil"/>
            </w:tcBorders>
            <w:shd w:val="clear" w:color="auto" w:fill="auto"/>
            <w:noWrap/>
            <w:vAlign w:val="center"/>
          </w:tcPr>
          <w:p w14:paraId="21703243">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 xml:space="preserve">94 </w:t>
            </w:r>
          </w:p>
        </w:tc>
        <w:tc>
          <w:tcPr>
            <w:tcW w:w="2239" w:type="dxa"/>
            <w:tcBorders>
              <w:top w:val="nil"/>
              <w:left w:val="nil"/>
              <w:bottom w:val="nil"/>
              <w:right w:val="nil"/>
            </w:tcBorders>
            <w:shd w:val="clear" w:color="auto" w:fill="auto"/>
            <w:noWrap/>
            <w:vAlign w:val="center"/>
          </w:tcPr>
          <w:p w14:paraId="261F0922">
            <w:pPr>
              <w:keepNext w:val="0"/>
              <w:keepLines w:val="0"/>
              <w:widowControl/>
              <w:suppressLineNumbers w:val="0"/>
              <w:jc w:val="right"/>
              <w:textAlignment w:val="center"/>
              <w:rPr>
                <w:rFonts w:hint="default" w:ascii="Calibri" w:hAnsi="Calibri" w:cs="Calibri"/>
                <w:i w:val="0"/>
                <w:iCs w:val="0"/>
                <w:color w:val="000000"/>
                <w:highlight w:val="green"/>
                <w:u w:val="none"/>
              </w:rPr>
            </w:pPr>
            <w:r>
              <w:rPr>
                <w:rFonts w:hint="default" w:ascii="Calibri" w:hAnsi="Calibri" w:eastAsia="SimSun" w:cs="Calibri"/>
                <w:i w:val="0"/>
                <w:iCs w:val="0"/>
                <w:color w:val="000000"/>
                <w:kern w:val="0"/>
                <w:sz w:val="24"/>
                <w:szCs w:val="24"/>
                <w:highlight w:val="green"/>
                <w:u w:val="none"/>
                <w:lang w:val="en-US" w:eastAsia="zh-CN" w:bidi="ar"/>
              </w:rPr>
              <w:t>225</w:t>
            </w:r>
          </w:p>
        </w:tc>
      </w:tr>
    </w:tbl>
    <w:p w14:paraId="0BB7C015">
      <w:pPr>
        <w:bidi w:val="0"/>
        <w:rPr>
          <w:highlight w:val="green"/>
        </w:rPr>
      </w:pPr>
      <w:r>
        <w:rPr>
          <w:highlight w:val="green"/>
        </w:rPr>
        <w:t>Анализ распределения рецентных видов по глубине (Табл. ++) показал, что в нижней части разреза обнаруживаются фоссилии тех видов, которые в рецентн</w:t>
      </w:r>
      <w:r>
        <w:rPr>
          <w:highlight w:val="green"/>
          <w:lang w:val="ru-RU"/>
        </w:rPr>
        <w:t>ых</w:t>
      </w:r>
      <w:r>
        <w:rPr>
          <w:rFonts w:hint="default"/>
          <w:highlight w:val="green"/>
          <w:lang w:val="ru-RU"/>
        </w:rPr>
        <w:t xml:space="preserve"> сообществах Ледовитого океана </w:t>
      </w:r>
      <w:r>
        <w:rPr>
          <w:highlight w:val="green"/>
        </w:rPr>
        <w:t>встречаются, в среднем, на достаточно большой глубине</w:t>
      </w:r>
      <w:r>
        <w:rPr>
          <w:rFonts w:hint="default"/>
          <w:highlight w:val="green"/>
          <w:lang w:val="ru-RU"/>
        </w:rPr>
        <w:t xml:space="preserve"> (около 100 м)</w:t>
      </w:r>
      <w:r>
        <w:rPr>
          <w:highlight w:val="green"/>
        </w:rPr>
        <w:t>.</w:t>
      </w:r>
      <w:r>
        <w:rPr>
          <w:rFonts w:hint="default"/>
          <w:highlight w:val="green"/>
          <w:lang w:val="ru-RU"/>
        </w:rPr>
        <w:t xml:space="preserve"> В верхней части разреза представлены более мелководные виды. Явная корреляция между глубиной поселения видов в современных сообществах с расположением их фоссилий на разных уровнях Колвицкого разреза позволяет трактовать наблюдаемые отложения как сохранившуюся летопись, несущую информацию о  плеосукцессии, связанной с изменением глубины водоема, некогда существовашего в данной локации. </w:t>
      </w:r>
      <w:r>
        <w:rPr>
          <w:highlight w:val="green"/>
        </w:rPr>
        <w:t xml:space="preserve"> </w:t>
      </w:r>
    </w:p>
    <w:p w14:paraId="0167E4C8">
      <w:pPr>
        <w:bidi w:val="0"/>
        <w:rPr>
          <w:rFonts w:hint="default"/>
          <w:highlight w:val="green"/>
          <w:lang w:val="ru-RU"/>
        </w:rPr>
      </w:pPr>
      <w:r>
        <w:rPr>
          <w:rFonts w:hint="default"/>
          <w:highlight w:val="green"/>
          <w:lang w:val="ru-RU"/>
        </w:rPr>
        <w:t xml:space="preserve">Самая древняя часть разреза представлена мореной с мелкодисперсным осадком между камнями. Присутствие трубок </w:t>
      </w:r>
      <w:r>
        <w:rPr>
          <w:rFonts w:hint="default"/>
          <w:i/>
          <w:iCs/>
          <w:highlight w:val="green"/>
          <w:lang w:val="en-US"/>
        </w:rPr>
        <w:t>N.</w:t>
      </w:r>
      <w:r>
        <w:rPr>
          <w:rFonts w:hint="default"/>
          <w:i/>
          <w:iCs/>
          <w:highlight w:val="green"/>
          <w:lang w:val="ru-RU"/>
        </w:rPr>
        <w:t xml:space="preserve"> </w:t>
      </w:r>
      <w:r>
        <w:rPr>
          <w:rFonts w:hint="default"/>
          <w:i/>
          <w:iCs/>
          <w:highlight w:val="green"/>
          <w:lang w:val="en-US"/>
        </w:rPr>
        <w:t>minor</w:t>
      </w:r>
      <w:r>
        <w:rPr>
          <w:rFonts w:hint="default"/>
          <w:i/>
          <w:iCs/>
          <w:highlight w:val="green"/>
          <w:lang w:val="ru-RU"/>
        </w:rPr>
        <w:t xml:space="preserve"> </w:t>
      </w:r>
      <w:r>
        <w:rPr>
          <w:rFonts w:hint="default"/>
          <w:highlight w:val="green"/>
          <w:lang w:val="ru-RU"/>
        </w:rPr>
        <w:t xml:space="preserve">на поверхности камней говорит о том, что морена в период формирования этих отложений не была покрыта слоем осадка. Это является следствием высокой скорости придонного течения. </w:t>
      </w:r>
      <w:r>
        <w:rPr>
          <w:highlight w:val="green"/>
        </w:rPr>
        <w:t xml:space="preserve">Среди рецентных сообществ Белого моря такое сочетание </w:t>
      </w:r>
      <w:r>
        <w:rPr>
          <w:highlight w:val="green"/>
          <w:lang w:val="ru-RU"/>
        </w:rPr>
        <w:t>слабо</w:t>
      </w:r>
      <w:r>
        <w:rPr>
          <w:rFonts w:hint="default"/>
          <w:highlight w:val="green"/>
          <w:lang w:val="ru-RU"/>
        </w:rPr>
        <w:t xml:space="preserve"> заиленного </w:t>
      </w:r>
      <w:r>
        <w:rPr>
          <w:highlight w:val="green"/>
          <w:lang w:val="ru-RU"/>
        </w:rPr>
        <w:t>каменистого</w:t>
      </w:r>
      <w:r>
        <w:rPr>
          <w:rFonts w:hint="default"/>
          <w:highlight w:val="green"/>
          <w:lang w:val="ru-RU"/>
        </w:rPr>
        <w:t xml:space="preserve"> </w:t>
      </w:r>
      <w:r>
        <w:rPr>
          <w:highlight w:val="green"/>
        </w:rPr>
        <w:t xml:space="preserve">субстрата и трубок </w:t>
      </w:r>
      <w:r>
        <w:rPr>
          <w:rFonts w:hint="default"/>
          <w:i/>
          <w:iCs/>
          <w:highlight w:val="green"/>
          <w:lang w:val="en-US"/>
        </w:rPr>
        <w:t xml:space="preserve">N.minor </w:t>
      </w:r>
      <w:r>
        <w:rPr>
          <w:highlight w:val="green"/>
        </w:rPr>
        <w:t>наблюдается на дне салм с мощным проточным режимом</w:t>
      </w:r>
      <w:r>
        <w:rPr>
          <w:rFonts w:hint="default"/>
          <w:highlight w:val="green"/>
          <w:lang w:val="en-US"/>
        </w:rPr>
        <w:t xml:space="preserve"> (</w:t>
      </w:r>
      <w:r>
        <w:rPr>
          <w:rFonts w:hint="default"/>
          <w:highlight w:val="green"/>
          <w:lang w:val="ru-RU"/>
        </w:rPr>
        <w:t>Флора и фауна ..., 2010; персональные наблюдения авторов)</w:t>
      </w:r>
      <w:r>
        <w:rPr>
          <w:highlight w:val="green"/>
        </w:rPr>
        <w:t xml:space="preserve">. </w:t>
      </w:r>
      <w:r>
        <w:rPr>
          <w:highlight w:val="green"/>
          <w:lang w:val="ru-RU"/>
        </w:rPr>
        <w:t>Вероятно</w:t>
      </w:r>
      <w:r>
        <w:rPr>
          <w:rFonts w:hint="default"/>
          <w:highlight w:val="green"/>
          <w:lang w:val="ru-RU"/>
        </w:rPr>
        <w:t xml:space="preserve">, на первых этапах палеосукцессии в участке, где находится разрез, проходила салма,  соединяющая открытый участок моря с некоторой акваторией, на месте которой в настоящее время находится оз. Колвицкое.  </w:t>
      </w:r>
    </w:p>
    <w:p w14:paraId="4015B288">
      <w:pPr>
        <w:bidi w:val="0"/>
        <w:rPr>
          <w:rFonts w:hint="default"/>
          <w:highlight w:val="green"/>
          <w:lang w:val="ru-RU"/>
        </w:rPr>
      </w:pPr>
      <w:r>
        <w:rPr>
          <w:rFonts w:hint="default"/>
          <w:highlight w:val="green"/>
          <w:lang w:val="ru-RU"/>
        </w:rPr>
        <w:t xml:space="preserve">Следующие события, были связаны с изменением проточного режима. Скорость течения снизилась, в пользу чего говорит обильное накопление осадка. Глубина при этом сохранялась достаточно большой, о чем свидетельствует присутствие в в отложениях многочисленных трубок глубоководного вида </w:t>
      </w:r>
      <w:r>
        <w:rPr>
          <w:rFonts w:hint="default"/>
          <w:i/>
          <w:iCs/>
          <w:highlight w:val="green"/>
          <w:lang w:val="en-US"/>
        </w:rPr>
        <w:t>G. oculata</w:t>
      </w:r>
      <w:r>
        <w:rPr>
          <w:rFonts w:hint="default"/>
          <w:highlight w:val="green"/>
          <w:lang w:val="en-US"/>
        </w:rPr>
        <w:t xml:space="preserve">. </w:t>
      </w:r>
      <w:r>
        <w:rPr>
          <w:rFonts w:hint="default"/>
          <w:highlight w:val="green"/>
          <w:lang w:val="ru-RU"/>
        </w:rPr>
        <w:t>Сообщества с доминировнием этого вида известны из арктических фьордов с глубин от 50 до 100 м (</w:t>
      </w:r>
      <w:commentRangeStart w:id="9"/>
      <w:r>
        <w:rPr>
          <w:rFonts w:hint="default"/>
          <w:highlight w:val="green"/>
          <w:lang w:val="ru-RU"/>
        </w:rPr>
        <w:t>Деарт, Бритаев, 2014; Larsen, 1997; Oug, Høisœter, 2000</w:t>
      </w:r>
      <w:commentRangeEnd w:id="9"/>
      <w:r>
        <w:rPr>
          <w:highlight w:val="green"/>
        </w:rPr>
        <w:commentReference w:id="9"/>
      </w:r>
      <w:r>
        <w:rPr>
          <w:rFonts w:hint="default"/>
          <w:highlight w:val="green"/>
          <w:lang w:val="ru-RU"/>
        </w:rPr>
        <w:t xml:space="preserve">). Вероятно, на данном этапе палеосукцессии, вследствие поднятия уровня дна, пролив, описанный выше, исчез и в описываемом районе возник фьорд, остатками которого явлется губа Колвица. В определнный момент в этом заливе начало формироваться сообщество с доминированием </w:t>
      </w:r>
      <w:r>
        <w:rPr>
          <w:rFonts w:hint="default"/>
          <w:i/>
          <w:iCs/>
          <w:highlight w:val="green"/>
          <w:lang w:val="en-US"/>
        </w:rPr>
        <w:t>P.arctica</w:t>
      </w:r>
      <w:r>
        <w:rPr>
          <w:rFonts w:hint="default"/>
          <w:highlight w:val="green"/>
          <w:lang w:val="en-US"/>
        </w:rPr>
        <w:t xml:space="preserve">. </w:t>
      </w:r>
      <w:r>
        <w:rPr>
          <w:rFonts w:hint="default"/>
          <w:highlight w:val="green"/>
          <w:lang w:val="ru-RU"/>
        </w:rPr>
        <w:t xml:space="preserve">Этому периоду соответствуют отложения с многочисленными фоссилиями данного вида (слой 90 - 110 см, Табл. ++1). Актуалистическая модель сообщества, в котором доминирюут </w:t>
      </w:r>
      <w:r>
        <w:rPr>
          <w:rFonts w:hint="default"/>
          <w:i/>
          <w:iCs/>
          <w:highlight w:val="green"/>
          <w:lang w:val="en-US"/>
        </w:rPr>
        <w:t>P.arctica</w:t>
      </w:r>
      <w:r>
        <w:rPr>
          <w:rFonts w:hint="default"/>
          <w:highlight w:val="green"/>
          <w:lang w:val="en-US"/>
        </w:rPr>
        <w:t xml:space="preserve"> </w:t>
      </w:r>
      <w:r>
        <w:rPr>
          <w:rFonts w:hint="default"/>
          <w:highlight w:val="green"/>
          <w:lang w:val="ru-RU"/>
        </w:rPr>
        <w:t xml:space="preserve">и </w:t>
      </w:r>
      <w:r>
        <w:rPr>
          <w:rFonts w:hint="default"/>
          <w:i/>
          <w:iCs/>
          <w:highlight w:val="green"/>
          <w:lang w:val="en-US"/>
        </w:rPr>
        <w:t>G.oculata</w:t>
      </w:r>
      <w:r>
        <w:rPr>
          <w:rFonts w:hint="default"/>
          <w:highlight w:val="green"/>
          <w:lang w:val="ru-RU"/>
        </w:rPr>
        <w:t>, представлена в проливе Великая салма на глубине 69-133 м (</w:t>
      </w:r>
      <w:commentRangeStart w:id="10"/>
      <w:r>
        <w:rPr>
          <w:rFonts w:hint="default"/>
          <w:highlight w:val="green"/>
          <w:lang w:val="en-US"/>
        </w:rPr>
        <w:t>Mokievsky et al., 2020</w:t>
      </w:r>
      <w:commentRangeEnd w:id="10"/>
      <w:r>
        <w:rPr>
          <w:highlight w:val="green"/>
        </w:rPr>
        <w:commentReference w:id="10"/>
      </w:r>
      <w:r>
        <w:rPr>
          <w:rFonts w:hint="default"/>
          <w:highlight w:val="green"/>
          <w:lang w:val="en-US"/>
        </w:rPr>
        <w:t>)</w:t>
      </w:r>
      <w:r>
        <w:rPr>
          <w:rFonts w:hint="default"/>
          <w:highlight w:val="green"/>
          <w:lang w:val="ru-RU"/>
        </w:rPr>
        <w:t xml:space="preserve">. </w:t>
      </w:r>
    </w:p>
    <w:p w14:paraId="65459AAE">
      <w:pPr>
        <w:bidi w:val="0"/>
        <w:rPr>
          <w:highlight w:val="green"/>
        </w:rPr>
      </w:pPr>
      <w:r>
        <w:rPr>
          <w:rFonts w:hint="default"/>
          <w:highlight w:val="green"/>
          <w:lang w:val="ru-RU"/>
        </w:rPr>
        <w:t xml:space="preserve">В этот период существования сообщества, вероятно, наблюдались квазициклические изменения, связанные с накоплением осадка. Об этом свидетельствуют многочисленные чередующиеся слои, имеющие разную окраску (Рис. ++, </w:t>
      </w:r>
      <w:r>
        <w:rPr>
          <w:rFonts w:hint="default"/>
          <w:highlight w:val="green"/>
          <w:lang w:val="en-US"/>
        </w:rPr>
        <w:t>F)</w:t>
      </w:r>
      <w:r>
        <w:rPr>
          <w:highlight w:val="green"/>
        </w:rPr>
        <w:t xml:space="preserve">. </w:t>
      </w:r>
      <w:r>
        <w:rPr>
          <w:highlight w:val="green"/>
          <w:lang w:val="ru-RU"/>
        </w:rPr>
        <w:t>Это</w:t>
      </w:r>
      <w:r>
        <w:rPr>
          <w:rFonts w:hint="default"/>
          <w:highlight w:val="green"/>
          <w:lang w:val="ru-RU"/>
        </w:rPr>
        <w:t xml:space="preserve"> можно трактовать, как циклическое </w:t>
      </w:r>
      <w:r>
        <w:rPr>
          <w:highlight w:val="green"/>
        </w:rPr>
        <w:t>черед</w:t>
      </w:r>
      <w:r>
        <w:rPr>
          <w:highlight w:val="green"/>
          <w:lang w:val="ru-RU"/>
        </w:rPr>
        <w:t>ование</w:t>
      </w:r>
      <w:r>
        <w:rPr>
          <w:rFonts w:hint="default"/>
          <w:highlight w:val="green"/>
          <w:lang w:val="ru-RU"/>
        </w:rPr>
        <w:t xml:space="preserve"> </w:t>
      </w:r>
      <w:r>
        <w:rPr>
          <w:highlight w:val="green"/>
        </w:rPr>
        <w:t xml:space="preserve">окислительных (на поверхности грунта) и восстановительных (толща грунта) условий. </w:t>
      </w:r>
    </w:p>
    <w:p w14:paraId="20E5F4DA">
      <w:pPr>
        <w:bidi w:val="0"/>
        <w:rPr>
          <w:rFonts w:hint="default"/>
          <w:highlight w:val="green"/>
          <w:lang w:val="ru-RU"/>
        </w:rPr>
      </w:pPr>
      <w:r>
        <w:rPr>
          <w:rFonts w:hint="default"/>
          <w:highlight w:val="green"/>
          <w:lang w:val="ru-RU"/>
        </w:rPr>
        <w:t>Дальнейшее поднятие уровня дна при</w:t>
      </w:r>
      <w:r>
        <w:rPr>
          <w:highlight w:val="green"/>
        </w:rPr>
        <w:t xml:space="preserve">вело к обмелению акватории. Это сопровождалось переходом к сообществам с доминированием более </w:t>
      </w:r>
      <w:r>
        <w:rPr>
          <w:rFonts w:hint="default"/>
          <w:highlight w:val="green"/>
          <w:lang w:val="ru-RU"/>
        </w:rPr>
        <w:t xml:space="preserve">мелководных и, возможно, более </w:t>
      </w:r>
      <w:r>
        <w:rPr>
          <w:highlight w:val="green"/>
        </w:rPr>
        <w:t>теплолюбивых животных (</w:t>
      </w:r>
      <w:r>
        <w:rPr>
          <w:i/>
          <w:iCs/>
          <w:highlight w:val="green"/>
          <w:lang w:val="en-US"/>
        </w:rPr>
        <w:t>D</w:t>
      </w:r>
      <w:r>
        <w:rPr>
          <w:i/>
          <w:iCs/>
          <w:highlight w:val="green"/>
        </w:rPr>
        <w:t xml:space="preserve">. </w:t>
      </w:r>
      <w:r>
        <w:rPr>
          <w:i/>
          <w:iCs/>
          <w:highlight w:val="green"/>
          <w:lang w:val="en-US"/>
        </w:rPr>
        <w:t>quadrilobata</w:t>
      </w:r>
      <w:r>
        <w:rPr>
          <w:highlight w:val="green"/>
        </w:rPr>
        <w:t xml:space="preserve"> + </w:t>
      </w:r>
      <w:r>
        <w:rPr>
          <w:i/>
          <w:iCs/>
          <w:highlight w:val="green"/>
          <w:lang w:val="en-US"/>
        </w:rPr>
        <w:t>Macoma</w:t>
      </w:r>
      <w:r>
        <w:rPr>
          <w:rFonts w:hint="default"/>
          <w:i/>
          <w:iCs/>
          <w:highlight w:val="green"/>
          <w:lang w:val="en-US"/>
        </w:rPr>
        <w:t xml:space="preserve"> </w:t>
      </w:r>
      <w:r>
        <w:rPr>
          <w:rFonts w:hint="default"/>
          <w:highlight w:val="green"/>
          <w:lang w:val="en-US"/>
        </w:rPr>
        <w:t>sp.</w:t>
      </w:r>
      <w:r>
        <w:rPr>
          <w:highlight w:val="green"/>
        </w:rPr>
        <w:t>).</w:t>
      </w:r>
      <w:r>
        <w:rPr>
          <w:rFonts w:hint="default"/>
          <w:highlight w:val="green"/>
          <w:lang w:val="ru-RU"/>
        </w:rPr>
        <w:t xml:space="preserve"> Плотные поселения </w:t>
      </w:r>
      <w:r>
        <w:rPr>
          <w:i/>
          <w:iCs/>
          <w:highlight w:val="green"/>
          <w:lang w:val="en-US"/>
        </w:rPr>
        <w:t>D</w:t>
      </w:r>
      <w:r>
        <w:rPr>
          <w:i/>
          <w:iCs/>
          <w:highlight w:val="green"/>
        </w:rPr>
        <w:t xml:space="preserve">. </w:t>
      </w:r>
      <w:r>
        <w:rPr>
          <w:i/>
          <w:iCs/>
          <w:highlight w:val="green"/>
          <w:lang w:val="en-US"/>
        </w:rPr>
        <w:t>quadrilobata</w:t>
      </w:r>
      <w:r>
        <w:rPr>
          <w:rFonts w:hint="default"/>
          <w:i/>
          <w:iCs/>
          <w:highlight w:val="green"/>
          <w:lang w:val="ru-RU"/>
        </w:rPr>
        <w:t xml:space="preserve"> </w:t>
      </w:r>
      <w:r>
        <w:rPr>
          <w:rFonts w:hint="default"/>
          <w:highlight w:val="green"/>
          <w:lang w:val="ru-RU"/>
        </w:rPr>
        <w:t>характерны для тех участков верхней сублиторали Белого моря, которые расположенных в затишных условиях (</w:t>
      </w:r>
      <w:commentRangeStart w:id="11"/>
      <w:r>
        <w:rPr>
          <w:rFonts w:hint="default"/>
          <w:highlight w:val="green"/>
          <w:lang w:val="en-US"/>
        </w:rPr>
        <w:t>Khaitov et al, 1999</w:t>
      </w:r>
      <w:commentRangeEnd w:id="11"/>
      <w:r>
        <w:rPr>
          <w:highlight w:val="green"/>
        </w:rPr>
        <w:commentReference w:id="11"/>
      </w:r>
      <w:r>
        <w:rPr>
          <w:rFonts w:hint="default"/>
          <w:highlight w:val="green"/>
          <w:lang w:val="ru-RU"/>
        </w:rPr>
        <w:t xml:space="preserve">). Таким условиям вполне соответствуют параметры мелководий многих полузолированных заливов Белого моря. Возможно, что в этот период описываемый участок был кутовой частью фьорда.   </w:t>
      </w:r>
    </w:p>
    <w:p w14:paraId="19CBD753">
      <w:pPr>
        <w:bidi w:val="0"/>
        <w:rPr>
          <w:rFonts w:hint="default"/>
          <w:lang w:val="ru-RU"/>
        </w:rPr>
      </w:pPr>
      <w:r>
        <w:rPr>
          <w:highlight w:val="green"/>
        </w:rPr>
        <w:t xml:space="preserve">В какой-то момент поднятие дна привело к выходу данного участка в верхнюю сублитораль или </w:t>
      </w:r>
      <w:r>
        <w:rPr>
          <w:highlight w:val="green"/>
          <w:lang w:val="ru-RU"/>
        </w:rPr>
        <w:t>на</w:t>
      </w:r>
      <w:r>
        <w:rPr>
          <w:rFonts w:hint="default"/>
          <w:highlight w:val="green"/>
          <w:lang w:val="ru-RU"/>
        </w:rPr>
        <w:t xml:space="preserve"> </w:t>
      </w:r>
      <w:r>
        <w:rPr>
          <w:highlight w:val="green"/>
        </w:rPr>
        <w:t>литораль, где и сформировалась мидиевая банка</w:t>
      </w:r>
      <w:r>
        <w:rPr>
          <w:rFonts w:hint="default"/>
          <w:highlight w:val="green"/>
          <w:lang w:val="ru-RU"/>
        </w:rPr>
        <w:t>. Мощность слоя отложений, соответствующих мидиевой банке невелика, всего около 20 см. В то же время, рецентные мидиевые банки Белого моря подстилаются значительно более толстым слоем ракуши, мощность которого достигает нескольких десятков сантиметров. Эти слои ракушечника накапливаются вследствие многократно повторяющихся циклов отмирания и возобновления поселения мидий (</w:t>
      </w:r>
      <w:commentRangeStart w:id="12"/>
      <w:r>
        <w:rPr>
          <w:rFonts w:hint="default"/>
          <w:highlight w:val="green"/>
          <w:lang w:val="en-US"/>
        </w:rPr>
        <w:t>Khaitov, Lentsman, 2016</w:t>
      </w:r>
      <w:commentRangeEnd w:id="12"/>
      <w:r>
        <w:rPr>
          <w:highlight w:val="green"/>
        </w:rPr>
        <w:commentReference w:id="12"/>
      </w:r>
      <w:r>
        <w:rPr>
          <w:rFonts w:hint="default"/>
          <w:highlight w:val="green"/>
          <w:lang w:val="en-US"/>
        </w:rPr>
        <w:t xml:space="preserve">). </w:t>
      </w:r>
      <w:r>
        <w:rPr>
          <w:rFonts w:hint="default"/>
          <w:highlight w:val="green"/>
          <w:lang w:val="ru-RU"/>
        </w:rPr>
        <w:t>В данной локации таких многократных повторений выявлено не было. Это может быть следствием очень быстрого поднятия уровня дна, вследствие которых участок, где представлены отложения, быстро, возможно в течение нескольких десятилетий, превратился в сушу</w:t>
      </w:r>
      <w:r>
        <w:t xml:space="preserve">.    </w:t>
      </w:r>
    </w:p>
    <w:p w14:paraId="2BD17BD4">
      <w:pPr>
        <w:spacing w:after="0" w:line="360" w:lineRule="auto"/>
        <w:ind w:firstLine="709"/>
        <w:jc w:val="both"/>
        <w:rPr>
          <w:rFonts w:ascii="Times New Roman" w:hAnsi="Times New Roman"/>
          <w:sz w:val="24"/>
          <w:szCs w:val="24"/>
        </w:rPr>
      </w:pPr>
    </w:p>
    <w:p w14:paraId="13D2D862">
      <w:pPr>
        <w:spacing w:after="0" w:line="360" w:lineRule="auto"/>
        <w:ind w:firstLine="709"/>
        <w:jc w:val="both"/>
        <w:rPr>
          <w:rFonts w:ascii="Times New Roman" w:hAnsi="Times New Roman"/>
          <w:sz w:val="24"/>
          <w:szCs w:val="24"/>
        </w:rPr>
      </w:pPr>
    </w:p>
    <w:p w14:paraId="2BC5C0AC">
      <w:pPr>
        <w:spacing w:after="0" w:line="360" w:lineRule="auto"/>
        <w:ind w:firstLine="709"/>
        <w:jc w:val="both"/>
        <w:rPr>
          <w:rFonts w:ascii="Times New Roman" w:hAnsi="Times New Roman"/>
          <w:sz w:val="24"/>
          <w:szCs w:val="24"/>
        </w:rPr>
      </w:pPr>
      <w:r>
        <w:rPr>
          <w:rFonts w:ascii="Times New Roman" w:hAnsi="Times New Roman"/>
          <w:sz w:val="24"/>
          <w:szCs w:val="24"/>
        </w:rPr>
        <w:t xml:space="preserve">Для этого же слоя (2.0–1.0 м) был выполнен диатомовый анализ. </w:t>
      </w:r>
      <w:r>
        <w:rPr>
          <w:rFonts w:ascii="Times New Roman" w:hAnsi="Times New Roman" w:cs="Times New Roman"/>
          <w:sz w:val="24"/>
          <w:szCs w:val="24"/>
        </w:rPr>
        <w:t>По составу диатомовых ассоциаций здесь выделяется диатомовая зона (ДЗ) 1 с двумя подзонами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Х7). Концентрации диатомей крайне низкие, &lt;1÷5 тыс. ств./г, таксономическое разнообразие также низкое, от 16 до 39 видов/300 ств. Диатомеи представлены пресноводно-солоноватоводными (до 8 %), солоноватоводными (3-29 %) и эвригалинными (60-97 %) видами, преимущественно планктонными (до 90 %):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w:t>
      </w:r>
      <w:r>
        <w:rPr>
          <w:rFonts w:ascii="Times New Roman" w:hAnsi="Times New Roman" w:cs="Times New Roman"/>
          <w:i/>
          <w:iCs/>
          <w:sz w:val="24"/>
          <w:szCs w:val="24"/>
        </w:rPr>
        <w:t>Pantocsekiella kuetzingiana</w:t>
      </w:r>
      <w:r>
        <w:rPr>
          <w:rFonts w:ascii="Times New Roman" w:hAnsi="Times New Roman" w:cs="Times New Roman"/>
          <w:sz w:val="24"/>
          <w:szCs w:val="24"/>
        </w:rPr>
        <w:t xml:space="preserve">,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и </w:t>
      </w:r>
      <w:r>
        <w:rPr>
          <w:rFonts w:ascii="Times New Roman" w:hAnsi="Times New Roman" w:cs="Times New Roman"/>
          <w:i/>
          <w:iCs/>
          <w:sz w:val="24"/>
          <w:szCs w:val="24"/>
        </w:rPr>
        <w:t>C. socialis</w:t>
      </w:r>
      <w:r>
        <w:rPr>
          <w:rFonts w:ascii="Times New Roman" w:hAnsi="Times New Roman" w:cs="Times New Roman"/>
          <w:sz w:val="24"/>
          <w:szCs w:val="24"/>
        </w:rPr>
        <w:t xml:space="preserve"> f. </w:t>
      </w:r>
      <w:r>
        <w:rPr>
          <w:rFonts w:ascii="Times New Roman" w:hAnsi="Times New Roman" w:cs="Times New Roman"/>
          <w:i/>
          <w:iCs/>
          <w:sz w:val="24"/>
          <w:szCs w:val="24"/>
        </w:rPr>
        <w:t xml:space="preserve">radians </w:t>
      </w:r>
      <w:r>
        <w:rPr>
          <w:rFonts w:ascii="Times New Roman" w:hAnsi="Times New Roman" w:cs="Times New Roman"/>
          <w:sz w:val="24"/>
          <w:szCs w:val="24"/>
        </w:rPr>
        <w:t xml:space="preserve">(покоящиеся споры), </w:t>
      </w:r>
      <w:r>
        <w:rPr>
          <w:rFonts w:ascii="Times New Roman" w:hAnsi="Times New Roman" w:cs="Times New Roman"/>
          <w:i/>
          <w:iCs/>
          <w:sz w:val="24"/>
          <w:szCs w:val="24"/>
        </w:rPr>
        <w:t>Planothidium delicatulum</w:t>
      </w:r>
      <w:r>
        <w:rPr>
          <w:rFonts w:ascii="Times New Roman" w:hAnsi="Times New Roman" w:cs="Times New Roman"/>
          <w:sz w:val="24"/>
          <w:szCs w:val="24"/>
        </w:rPr>
        <w:t xml:space="preserve">, </w:t>
      </w:r>
      <w:r>
        <w:rPr>
          <w:rFonts w:ascii="Times New Roman" w:hAnsi="Times New Roman" w:cs="Times New Roman"/>
          <w:i/>
          <w:iCs/>
          <w:sz w:val="24"/>
          <w:szCs w:val="24"/>
        </w:rPr>
        <w:t>Tabularia tabulata</w:t>
      </w:r>
      <w:r>
        <w:rPr>
          <w:rFonts w:ascii="Times New Roman" w:hAnsi="Times New Roman" w:cs="Times New Roman"/>
          <w:sz w:val="24"/>
          <w:szCs w:val="24"/>
        </w:rPr>
        <w:t xml:space="preserve">, </w:t>
      </w:r>
      <w:r>
        <w:rPr>
          <w:rFonts w:ascii="Times New Roman" w:hAnsi="Times New Roman" w:cs="Times New Roman"/>
          <w:i/>
          <w:iCs/>
          <w:sz w:val="24"/>
          <w:szCs w:val="24"/>
        </w:rPr>
        <w:t>Staurosirella martyi</w:t>
      </w:r>
      <w:r>
        <w:rPr>
          <w:rFonts w:ascii="Times New Roman" w:hAnsi="Times New Roman" w:cs="Times New Roman"/>
          <w:sz w:val="24"/>
          <w:szCs w:val="24"/>
        </w:rPr>
        <w:t xml:space="preserve">, </w:t>
      </w:r>
      <w:r>
        <w:rPr>
          <w:rFonts w:ascii="Times New Roman" w:hAnsi="Times New Roman" w:cs="Times New Roman"/>
          <w:i/>
          <w:iCs/>
          <w:sz w:val="24"/>
          <w:szCs w:val="24"/>
          <w:lang w:val="en-US"/>
        </w:rPr>
        <w:t>Cocconeis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Присутствуют ледовые виды диатомей (до 5 %),</w:t>
      </w:r>
      <w:r>
        <w:t xml:space="preserve"> </w:t>
      </w:r>
      <w:r>
        <w:rPr>
          <w:rFonts w:ascii="Times New Roman" w:hAnsi="Times New Roman" w:cs="Times New Roman"/>
          <w:sz w:val="24"/>
          <w:szCs w:val="24"/>
        </w:rPr>
        <w:t xml:space="preserve">количество и разнообразие которых сокращается вверх по разрезу: </w:t>
      </w:r>
      <w:r>
        <w:rPr>
          <w:rFonts w:ascii="Times New Roman" w:hAnsi="Times New Roman" w:cs="Times New Roman"/>
          <w:i/>
          <w:iCs/>
          <w:sz w:val="24"/>
          <w:szCs w:val="24"/>
        </w:rPr>
        <w:t>Craspedopleura kryophila</w:t>
      </w:r>
      <w:r>
        <w:rPr>
          <w:rFonts w:ascii="Times New Roman" w:hAnsi="Times New Roman" w:cs="Times New Roman"/>
          <w:sz w:val="24"/>
          <w:szCs w:val="24"/>
        </w:rPr>
        <w:t xml:space="preserve">, </w:t>
      </w:r>
      <w:r>
        <w:rPr>
          <w:rFonts w:ascii="Times New Roman" w:hAnsi="Times New Roman" w:cs="Times New Roman"/>
          <w:i/>
          <w:iCs/>
          <w:sz w:val="24"/>
          <w:szCs w:val="24"/>
        </w:rPr>
        <w:t>Pinnularia quadratarea</w:t>
      </w:r>
      <w:r>
        <w:rPr>
          <w:rFonts w:ascii="Times New Roman" w:hAnsi="Times New Roman" w:cs="Times New Roman"/>
          <w:sz w:val="24"/>
          <w:szCs w:val="24"/>
        </w:rPr>
        <w:t xml:space="preserve"> et vars., </w:t>
      </w:r>
      <w:r>
        <w:rPr>
          <w:rFonts w:ascii="Times New Roman" w:hAnsi="Times New Roman" w:cs="Times New Roman"/>
          <w:i/>
          <w:iCs/>
          <w:sz w:val="24"/>
          <w:szCs w:val="24"/>
        </w:rPr>
        <w:t>P. polaris</w:t>
      </w:r>
      <w:r>
        <w:rPr>
          <w:rFonts w:ascii="Times New Roman" w:hAnsi="Times New Roman" w:cs="Times New Roman"/>
          <w:sz w:val="24"/>
          <w:szCs w:val="24"/>
        </w:rPr>
        <w:t xml:space="preserve">, </w:t>
      </w:r>
      <w:r>
        <w:rPr>
          <w:rFonts w:ascii="Times New Roman" w:hAnsi="Times New Roman" w:cs="Times New Roman"/>
          <w:i/>
          <w:iCs/>
          <w:sz w:val="24"/>
          <w:szCs w:val="24"/>
        </w:rPr>
        <w:t>P. semiinflata</w:t>
      </w:r>
      <w:r>
        <w:rPr>
          <w:rFonts w:ascii="Times New Roman" w:hAnsi="Times New Roman" w:cs="Times New Roman"/>
          <w:sz w:val="24"/>
          <w:szCs w:val="24"/>
        </w:rPr>
        <w:t xml:space="preserve">, </w:t>
      </w:r>
      <w:r>
        <w:rPr>
          <w:rFonts w:ascii="Times New Roman" w:hAnsi="Times New Roman" w:cs="Times New Roman"/>
          <w:i/>
          <w:iCs/>
          <w:sz w:val="24"/>
          <w:szCs w:val="24"/>
        </w:rPr>
        <w:t>Diploneis litoralis</w:t>
      </w:r>
      <w:r>
        <w:rPr>
          <w:rFonts w:ascii="Times New Roman" w:hAnsi="Times New Roman" w:cs="Times New Roman"/>
          <w:sz w:val="24"/>
          <w:szCs w:val="24"/>
        </w:rPr>
        <w:t xml:space="preserve"> var. </w:t>
      </w:r>
      <w:r>
        <w:rPr>
          <w:rFonts w:ascii="Times New Roman" w:hAnsi="Times New Roman" w:cs="Times New Roman"/>
          <w:i/>
          <w:iCs/>
          <w:sz w:val="24"/>
          <w:szCs w:val="24"/>
        </w:rPr>
        <w:t>clathrata</w:t>
      </w:r>
      <w:r>
        <w:rPr>
          <w:rFonts w:ascii="Times New Roman" w:hAnsi="Times New Roman" w:cs="Times New Roman"/>
          <w:sz w:val="24"/>
          <w:szCs w:val="24"/>
        </w:rPr>
        <w:t xml:space="preserve">, </w:t>
      </w:r>
      <w:r>
        <w:rPr>
          <w:rFonts w:ascii="Times New Roman" w:hAnsi="Times New Roman" w:cs="Times New Roman"/>
          <w:i/>
          <w:iCs/>
          <w:sz w:val="24"/>
          <w:szCs w:val="24"/>
        </w:rPr>
        <w:t>Navicula algida</w:t>
      </w:r>
      <w:r>
        <w:rPr>
          <w:rFonts w:ascii="Times New Roman" w:hAnsi="Times New Roman" w:cs="Times New Roman"/>
          <w:sz w:val="24"/>
          <w:szCs w:val="24"/>
        </w:rPr>
        <w:t xml:space="preserve">, </w:t>
      </w:r>
      <w:r>
        <w:rPr>
          <w:rFonts w:ascii="Times New Roman" w:hAnsi="Times New Roman" w:cs="Times New Roman"/>
          <w:i/>
          <w:iCs/>
          <w:sz w:val="24"/>
          <w:szCs w:val="24"/>
        </w:rPr>
        <w:t>N. valida</w:t>
      </w:r>
      <w:r>
        <w:rPr>
          <w:rFonts w:ascii="Times New Roman" w:hAnsi="Times New Roman" w:cs="Times New Roman"/>
          <w:sz w:val="24"/>
          <w:szCs w:val="24"/>
        </w:rPr>
        <w:t xml:space="preserve">. Отмечается присутствие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морского одноклеточного фаготрофа, распространенного в прибрежном планктоне в широком диапазоне температуры и солености, и цист золотистых водорослей. В верхней части пачки (подзона ДЗ 1b) вверх по разрезу отмечается уменьшение доли планктонных видов, выпадение видов, характерных для морских льдов, ухудшение сохранности створок и появление переотложенных диатомей. В составе доминантов появляется бентосный солоноватоводный вид </w:t>
      </w:r>
      <w:r>
        <w:rPr>
          <w:rFonts w:ascii="Times New Roman" w:hAnsi="Times New Roman" w:cs="Times New Roman"/>
          <w:i/>
          <w:iCs/>
          <w:sz w:val="24"/>
          <w:szCs w:val="24"/>
        </w:rPr>
        <w:t>Thalassiosira decipiens</w:t>
      </w:r>
      <w:r>
        <w:rPr>
          <w:rFonts w:ascii="Times New Roman" w:hAnsi="Times New Roman"/>
          <w:sz w:val="24"/>
          <w:szCs w:val="24"/>
        </w:rPr>
        <w:t xml:space="preserve">. </w:t>
      </w:r>
    </w:p>
    <w:p w14:paraId="27B93795">
      <w:pPr>
        <w:spacing w:after="0" w:line="360" w:lineRule="auto"/>
        <w:jc w:val="both"/>
        <w:rPr>
          <w:rFonts w:ascii="Times New Roman" w:hAnsi="Times New Roman"/>
          <w:sz w:val="24"/>
          <w:szCs w:val="24"/>
        </w:rPr>
      </w:pPr>
      <w:r>
        <w:rPr>
          <w:rFonts w:ascii="Times New Roman" w:hAnsi="Times New Roman"/>
          <w:sz w:val="24"/>
          <w:szCs w:val="24"/>
          <w:lang w:eastAsia="ru-RU"/>
        </w:rPr>
        <w:drawing>
          <wp:inline distT="0" distB="0" distL="0" distR="0">
            <wp:extent cx="5940425" cy="29978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2997835"/>
                    </a:xfrm>
                    <a:prstGeom prst="rect">
                      <a:avLst/>
                    </a:prstGeom>
                  </pic:spPr>
                </pic:pic>
              </a:graphicData>
            </a:graphic>
          </wp:inline>
        </w:drawing>
      </w:r>
    </w:p>
    <w:p w14:paraId="2D470BD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highlight w:val="yellow"/>
          <w:lang w:val="en-US"/>
        </w:rPr>
        <w:t>Fig</w:t>
      </w:r>
      <w:r>
        <w:rPr>
          <w:rFonts w:ascii="Times New Roman" w:hAnsi="Times New Roman" w:cs="Times New Roman"/>
          <w:b/>
          <w:bCs/>
          <w:sz w:val="24"/>
          <w:szCs w:val="24"/>
          <w:highlight w:val="yellow"/>
        </w:rPr>
        <w:t>. Х7</w:t>
      </w:r>
      <w:r>
        <w:rPr>
          <w:rFonts w:ascii="Times New Roman" w:hAnsi="Times New Roman" w:cs="Times New Roman"/>
          <w:sz w:val="24"/>
          <w:szCs w:val="24"/>
          <w:highlight w:val="yellow"/>
        </w:rPr>
        <w:t>.</w:t>
      </w:r>
      <w:r>
        <w:rPr>
          <w:rFonts w:ascii="Times New Roman" w:hAnsi="Times New Roman" w:cs="Times New Roman"/>
          <w:sz w:val="24"/>
          <w:szCs w:val="24"/>
        </w:rPr>
        <w:t xml:space="preserve"> Диатомовая диаграмма расчистки А карьера. Показаны виды, отмеченные в количестве 5 % и более хотя бы в 1 образце.</w:t>
      </w:r>
    </w:p>
    <w:p w14:paraId="28552275">
      <w:pPr>
        <w:spacing w:after="0" w:line="360" w:lineRule="auto"/>
        <w:jc w:val="both"/>
        <w:rPr>
          <w:rFonts w:ascii="Times New Roman" w:hAnsi="Times New Roman"/>
          <w:sz w:val="24"/>
          <w:szCs w:val="24"/>
        </w:rPr>
      </w:pPr>
    </w:p>
    <w:p w14:paraId="761840CD">
      <w:pPr>
        <w:spacing w:after="0" w:line="360" w:lineRule="auto"/>
        <w:ind w:firstLine="709"/>
        <w:jc w:val="both"/>
        <w:rPr>
          <w:rFonts w:ascii="Times New Roman" w:hAnsi="Times New Roman" w:cs="Times New Roman"/>
          <w:sz w:val="24"/>
          <w:szCs w:val="24"/>
        </w:rPr>
      </w:pPr>
      <w:bookmarkStart w:id="1" w:name="_GoBack"/>
      <w:bookmarkEnd w:id="1"/>
    </w:p>
    <w:p w14:paraId="2E0ED9C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Слой алеврита перекрыт зеленовато-серой глиной (1.0–0.8 м), насыщенной обломками раковин мидий </w:t>
      </w:r>
      <w:r>
        <w:rPr>
          <w:rFonts w:ascii="Times New Roman" w:hAnsi="Times New Roman" w:cs="Times New Roman"/>
          <w:i/>
          <w:sz w:val="24"/>
          <w:szCs w:val="24"/>
          <w:lang w:val="en-US"/>
        </w:rPr>
        <w:t>Mytilus</w:t>
      </w:r>
      <w:r>
        <w:rPr>
          <w:rFonts w:ascii="Times New Roman" w:hAnsi="Times New Roman" w:cs="Times New Roman"/>
          <w:i/>
          <w:sz w:val="24"/>
          <w:szCs w:val="24"/>
        </w:rPr>
        <w:t xml:space="preserve"> </w:t>
      </w:r>
      <w:r>
        <w:rPr>
          <w:rFonts w:ascii="Times New Roman" w:hAnsi="Times New Roman" w:cs="Times New Roman"/>
          <w:i/>
          <w:sz w:val="24"/>
          <w:szCs w:val="24"/>
          <w:lang w:val="en-US"/>
        </w:rPr>
        <w:t>edulis</w:t>
      </w:r>
      <w:r>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Fig. Х6, </w:t>
      </w:r>
      <w:r>
        <w:rPr>
          <w:rFonts w:ascii="Times New Roman" w:hAnsi="Times New Roman" w:cs="Times New Roman"/>
          <w:sz w:val="24"/>
          <w:szCs w:val="24"/>
          <w:highlight w:val="yellow"/>
          <w:lang w:val="en-US"/>
        </w:rPr>
        <w:t>I</w:t>
      </w:r>
      <w:r>
        <w:rPr>
          <w:rFonts w:ascii="Times New Roman" w:hAnsi="Times New Roman" w:cs="Times New Roman"/>
          <w:sz w:val="24"/>
          <w:szCs w:val="24"/>
        </w:rPr>
        <w:t xml:space="preserve">). Помимо створок мидий в этих слоях отмечены также осколки раковин </w:t>
      </w:r>
      <w:r>
        <w:rPr>
          <w:rFonts w:ascii="Times New Roman" w:hAnsi="Times New Roman" w:cs="Times New Roman"/>
          <w:i/>
          <w:iCs/>
          <w:sz w:val="24"/>
          <w:szCs w:val="24"/>
          <w:lang w:val="en-US"/>
        </w:rPr>
        <w:t>Macoma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xml:space="preserve">. и </w:t>
      </w:r>
      <w:r>
        <w:rPr>
          <w:rFonts w:ascii="Times New Roman" w:hAnsi="Times New Roman" w:cs="Times New Roman"/>
          <w:i/>
          <w:iCs/>
          <w:sz w:val="24"/>
          <w:szCs w:val="24"/>
          <w:lang w:val="en-US"/>
        </w:rPr>
        <w:t>Littorina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По раковинам была получена радиоуглеродная дата 8860±40 (9445-9300 кал. л.н., ГИН-14683). Т</w:t>
      </w:r>
      <w:commentRangeStart w:id="13"/>
      <w:r>
        <w:rPr>
          <w:rFonts w:ascii="Times New Roman" w:hAnsi="Times New Roman" w:cs="Times New Roman"/>
          <w:sz w:val="24"/>
          <w:szCs w:val="24"/>
        </w:rPr>
        <w:t>акого рода отложения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Х6, </w:t>
      </w:r>
      <w:r>
        <w:rPr>
          <w:rFonts w:ascii="Times New Roman" w:hAnsi="Times New Roman" w:cs="Times New Roman"/>
          <w:sz w:val="24"/>
          <w:szCs w:val="24"/>
          <w:lang w:val="en-US"/>
        </w:rPr>
        <w:t>J</w:t>
      </w:r>
      <w:r>
        <w:rPr>
          <w:rFonts w:ascii="Times New Roman" w:hAnsi="Times New Roman" w:cs="Times New Roman"/>
          <w:sz w:val="24"/>
          <w:szCs w:val="24"/>
        </w:rPr>
        <w:t>) хорошо соотносятся с ракушечником, подстилающим рецентные мидиевые банки, представленные на нижней литорали Белого моря.</w:t>
      </w:r>
      <w:commentRangeEnd w:id="13"/>
      <w:r>
        <w:commentReference w:id="13"/>
      </w:r>
      <w:r>
        <w:rPr>
          <w:rFonts w:ascii="Times New Roman" w:hAnsi="Times New Roman" w:cs="Times New Roman"/>
          <w:sz w:val="24"/>
          <w:szCs w:val="24"/>
        </w:rPr>
        <w:t xml:space="preserve"> В этом слое (ДЗ 2 на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Х7) концентрации створок диатомей в отложениях несколько больше, порядка 10–100 тыс./г, при сохранении низкого таксономического разнообразия (23-29 видов/300 ств.). Основу диатомовых ассоциаций составляют солоноватоводные, морские (суммарно 42-58 %) и эвригалинные (50-33 %) виды, при этом их соотношение вверх по разрезу изменяется в пользу солоноватоводно-морских. Характерны бентосные и перифитонные виды: </w:t>
      </w:r>
      <w:r>
        <w:rPr>
          <w:rFonts w:ascii="Times New Roman" w:hAnsi="Times New Roman" w:cs="Times New Roman"/>
          <w:i/>
          <w:iCs/>
          <w:sz w:val="24"/>
          <w:szCs w:val="24"/>
        </w:rPr>
        <w:t>Diploneis smithii</w:t>
      </w:r>
      <w:r>
        <w:rPr>
          <w:rFonts w:ascii="Times New Roman" w:hAnsi="Times New Roman" w:cs="Times New Roman"/>
          <w:sz w:val="24"/>
          <w:szCs w:val="24"/>
        </w:rPr>
        <w:t xml:space="preserve">, </w:t>
      </w:r>
      <w:r>
        <w:rPr>
          <w:rFonts w:ascii="Times New Roman" w:hAnsi="Times New Roman" w:cs="Times New Roman"/>
          <w:i/>
          <w:iCs/>
          <w:sz w:val="24"/>
          <w:szCs w:val="24"/>
        </w:rPr>
        <w:t>D. didyma</w:t>
      </w:r>
      <w:r>
        <w:rPr>
          <w:rFonts w:ascii="Times New Roman" w:hAnsi="Times New Roman" w:cs="Times New Roman"/>
          <w:sz w:val="24"/>
          <w:szCs w:val="24"/>
        </w:rPr>
        <w:t xml:space="preserve">, </w:t>
      </w:r>
      <w:r>
        <w:rPr>
          <w:rFonts w:ascii="Times New Roman" w:hAnsi="Times New Roman" w:cs="Times New Roman"/>
          <w:i/>
          <w:iCs/>
          <w:sz w:val="24"/>
          <w:szCs w:val="24"/>
        </w:rPr>
        <w:t>Achnanthes arctica</w:t>
      </w:r>
      <w:r>
        <w:rPr>
          <w:rFonts w:ascii="Times New Roman" w:hAnsi="Times New Roman" w:cs="Times New Roman"/>
          <w:sz w:val="24"/>
          <w:szCs w:val="24"/>
        </w:rPr>
        <w:t xml:space="preserve">, </w:t>
      </w:r>
      <w:r>
        <w:rPr>
          <w:rFonts w:ascii="Times New Roman" w:hAnsi="Times New Roman" w:cs="Times New Roman"/>
          <w:i/>
          <w:iCs/>
          <w:sz w:val="24"/>
          <w:szCs w:val="24"/>
        </w:rPr>
        <w:t>Tryblionella punctata</w:t>
      </w:r>
      <w:r>
        <w:rPr>
          <w:rFonts w:ascii="Times New Roman" w:hAnsi="Times New Roman" w:cs="Times New Roman"/>
          <w:sz w:val="24"/>
          <w:szCs w:val="24"/>
        </w:rPr>
        <w:t xml:space="preserve">, </w:t>
      </w:r>
      <w:r>
        <w:rPr>
          <w:rFonts w:ascii="Times New Roman" w:hAnsi="Times New Roman" w:cs="Times New Roman"/>
          <w:i/>
          <w:iCs/>
          <w:sz w:val="24"/>
          <w:szCs w:val="24"/>
        </w:rPr>
        <w:t>Caloneis lancettula</w:t>
      </w:r>
      <w:r>
        <w:rPr>
          <w:rFonts w:ascii="Times New Roman" w:hAnsi="Times New Roman" w:cs="Times New Roman"/>
          <w:sz w:val="24"/>
          <w:szCs w:val="24"/>
        </w:rPr>
        <w:t xml:space="preserve">, </w:t>
      </w:r>
      <w:r>
        <w:rPr>
          <w:rFonts w:ascii="Times New Roman" w:hAnsi="Times New Roman" w:cs="Times New Roman"/>
          <w:i/>
          <w:iCs/>
          <w:sz w:val="24"/>
          <w:szCs w:val="24"/>
        </w:rPr>
        <w:t>Rhoicosphenia abbreviata</w:t>
      </w:r>
      <w:r>
        <w:rPr>
          <w:rFonts w:ascii="Times New Roman" w:hAnsi="Times New Roman" w:cs="Times New Roman"/>
          <w:sz w:val="24"/>
          <w:szCs w:val="24"/>
        </w:rPr>
        <w:t xml:space="preserve">. Доля планктонных видов, представленных </w:t>
      </w:r>
      <w:r>
        <w:rPr>
          <w:rFonts w:ascii="Times New Roman" w:hAnsi="Times New Roman" w:cs="Times New Roman"/>
          <w:i/>
          <w:iCs/>
          <w:sz w:val="24"/>
          <w:szCs w:val="24"/>
        </w:rPr>
        <w:t>T</w:t>
      </w:r>
      <w:r>
        <w:rPr>
          <w:rFonts w:ascii="Times New Roman" w:hAnsi="Times New Roman" w:cs="Times New Roman"/>
          <w:i/>
          <w:iCs/>
          <w:sz w:val="24"/>
          <w:szCs w:val="24"/>
          <w:lang w:val="en-US"/>
        </w:rPr>
        <w:t>halassiosira</w:t>
      </w:r>
      <w:r>
        <w:rPr>
          <w:rFonts w:ascii="Times New Roman" w:hAnsi="Times New Roman" w:cs="Times New Roman"/>
          <w:i/>
          <w:iCs/>
          <w:sz w:val="24"/>
          <w:szCs w:val="24"/>
        </w:rPr>
        <w:t xml:space="preserve"> hyperborea</w:t>
      </w:r>
      <w:r>
        <w:rPr>
          <w:rFonts w:ascii="Times New Roman" w:hAnsi="Times New Roman" w:cs="Times New Roman"/>
          <w:sz w:val="24"/>
          <w:szCs w:val="24"/>
        </w:rPr>
        <w:t xml:space="preserve"> и покоящимися спорами </w:t>
      </w:r>
      <w:r>
        <w:rPr>
          <w:rFonts w:ascii="Times New Roman" w:hAnsi="Times New Roman" w:cs="Times New Roman"/>
          <w:i/>
          <w:iCs/>
          <w:sz w:val="24"/>
          <w:szCs w:val="24"/>
          <w:lang w:val="en-US"/>
        </w:rPr>
        <w:t>Chaetoceros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уменьшается от 20 % в нижней части слоя 1 до 5–10 % в его верхней части. Увеличивается содержание цист золотистых водорослей, а также характерно большое количество эндоскелетов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w:t>
      </w:r>
    </w:p>
    <w:p w14:paraId="4B8B7EBF">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Верхняя часть разреза (~0.8 м), частично снятая выработкой карьера, представлена разнозернистыми хорошо промытыми песками с гравием, галькой и мелкими валунами. </w:t>
      </w:r>
    </w:p>
    <w:p w14:paraId="0801A81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расчистке В (</w:t>
      </w:r>
      <w:r>
        <w:rPr>
          <w:rFonts w:ascii="Times New Roman" w:hAnsi="Times New Roman" w:cs="Times New Roman"/>
          <w:sz w:val="24"/>
          <w:szCs w:val="24"/>
          <w:highlight w:val="yellow"/>
        </w:rPr>
        <w:t xml:space="preserve">Fig. Х5, </w:t>
      </w:r>
      <w:r>
        <w:rPr>
          <w:rFonts w:ascii="Times New Roman" w:hAnsi="Times New Roman" w:cs="Times New Roman"/>
          <w:sz w:val="24"/>
          <w:szCs w:val="24"/>
          <w:highlight w:val="yellow"/>
          <w:lang w:val="en-US"/>
        </w:rPr>
        <w:t>c</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d</w:t>
      </w:r>
      <w:r>
        <w:rPr>
          <w:rFonts w:ascii="Times New Roman" w:hAnsi="Times New Roman" w:cs="Times New Roman"/>
          <w:sz w:val="24"/>
          <w:szCs w:val="24"/>
        </w:rPr>
        <w:t xml:space="preserve">) вскрывается пачка ритмичнослоистых отложений, представляющих собой переслаивание тонкозернистого (иногда мелкозернистого) светло-серого песка с глинистым серым алевритом. Общая видимая мощность этой пачки в разрезе – до 7 м. Толщина прослоев песка в пачке варьирует от 1 до 10 см, а мощность прослоев алеврита не превышает 1 см. Встречаются прослои (до 10 см) с волнистой слоистостью, и единичные валуны (по-видимому, дропстоуны). Слоистость по всей пачке горизонтальная, в нижней части разреза иногда извилистая, с текстурами деформации рыхлого осадка. Из этой толщи с глубины 6.8 м была получена ОСЛ-дата </w:t>
      </w:r>
      <w:commentRangeStart w:id="14"/>
      <w:r>
        <w:rPr>
          <w:rFonts w:ascii="Times New Roman" w:hAnsi="Times New Roman" w:cs="Times New Roman"/>
          <w:sz w:val="24"/>
          <w:szCs w:val="24"/>
        </w:rPr>
        <w:t>34.0±4.</w:t>
      </w:r>
      <w:commentRangeEnd w:id="14"/>
      <w:r>
        <w:rPr>
          <w:rStyle w:val="5"/>
          <w:rFonts w:ascii="Times New Roman" w:hAnsi="Times New Roman" w:cs="Times New Roman"/>
          <w:sz w:val="24"/>
          <w:szCs w:val="24"/>
        </w:rPr>
        <w:commentReference w:id="14"/>
      </w:r>
      <w:r>
        <w:rPr>
          <w:rFonts w:ascii="Times New Roman" w:hAnsi="Times New Roman" w:cs="Times New Roman"/>
          <w:sz w:val="24"/>
          <w:szCs w:val="24"/>
        </w:rPr>
        <w:t>0 (</w:t>
      </w:r>
      <w:r>
        <w:rPr>
          <w:rFonts w:ascii="Times New Roman" w:hAnsi="Times New Roman" w:cs="Times New Roman"/>
          <w:sz w:val="24"/>
          <w:szCs w:val="24"/>
          <w:lang w:val="en-GB"/>
        </w:rPr>
        <w:t>RGI</w:t>
      </w:r>
      <w:r>
        <w:rPr>
          <w:rFonts w:ascii="Times New Roman" w:hAnsi="Times New Roman" w:cs="Times New Roman"/>
          <w:sz w:val="24"/>
          <w:szCs w:val="24"/>
        </w:rPr>
        <w:t>–1215), а с глубины 2.1 м – 23.0±2.0 (</w:t>
      </w:r>
      <w:r>
        <w:rPr>
          <w:rFonts w:ascii="Times New Roman" w:hAnsi="Times New Roman" w:cs="Times New Roman"/>
          <w:sz w:val="24"/>
          <w:szCs w:val="24"/>
          <w:lang w:val="en-GB"/>
        </w:rPr>
        <w:t>RGI</w:t>
      </w:r>
      <w:r>
        <w:rPr>
          <w:rFonts w:ascii="Times New Roman" w:hAnsi="Times New Roman" w:cs="Times New Roman"/>
          <w:sz w:val="24"/>
          <w:szCs w:val="24"/>
        </w:rPr>
        <w:t>–1214) (</w:t>
      </w:r>
      <w:r>
        <w:rPr>
          <w:rFonts w:ascii="Times New Roman" w:hAnsi="Times New Roman" w:cs="Times New Roman"/>
          <w:sz w:val="24"/>
          <w:szCs w:val="24"/>
          <w:highlight w:val="yellow"/>
          <w:lang w:val="en-US"/>
        </w:rPr>
        <w:t>Table</w:t>
      </w:r>
      <w:r>
        <w:rPr>
          <w:rFonts w:ascii="Times New Roman" w:hAnsi="Times New Roman" w:cs="Times New Roman"/>
          <w:sz w:val="24"/>
          <w:szCs w:val="24"/>
          <w:highlight w:val="yellow"/>
        </w:rPr>
        <w:t xml:space="preserve"> 1</w:t>
      </w:r>
      <w:r>
        <w:rPr>
          <w:rFonts w:ascii="Times New Roman" w:hAnsi="Times New Roman" w:cs="Times New Roman"/>
          <w:sz w:val="24"/>
          <w:szCs w:val="24"/>
        </w:rPr>
        <w:t xml:space="preserve">). </w:t>
      </w:r>
    </w:p>
    <w:p w14:paraId="2E54AA0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Г</w:t>
      </w:r>
      <w:r>
        <w:rPr>
          <w:rFonts w:ascii="Times New Roman" w:hAnsi="Times New Roman" w:cs="Times New Roman"/>
          <w:sz w:val="24"/>
          <w:szCs w:val="24"/>
        </w:rPr>
        <w:t>ребневые части озовых гряд сложены преимущественно валунными и гравийно-галечными отложениями с разнозернистым, средне и хорошо сортированным и промытым песком (</w:t>
      </w:r>
      <w:r>
        <w:rPr>
          <w:rFonts w:ascii="Times New Roman" w:hAnsi="Times New Roman" w:cs="Times New Roman"/>
          <w:sz w:val="24"/>
          <w:szCs w:val="24"/>
          <w:highlight w:val="yellow"/>
        </w:rPr>
        <w:t>Рис. Х5, а</w:t>
      </w:r>
      <w:r>
        <w:rPr>
          <w:rFonts w:ascii="Times New Roman" w:hAnsi="Times New Roman" w:cs="Times New Roman"/>
          <w:sz w:val="24"/>
          <w:szCs w:val="24"/>
        </w:rPr>
        <w:t xml:space="preserve">, </w:t>
      </w:r>
      <w:r>
        <w:rPr>
          <w:rFonts w:ascii="Times New Roman" w:hAnsi="Times New Roman" w:cs="Times New Roman"/>
          <w:sz w:val="24"/>
          <w:szCs w:val="24"/>
          <w:lang w:val="en-US"/>
        </w:rPr>
        <w:t>b</w:t>
      </w:r>
      <w:r>
        <w:rPr>
          <w:rFonts w:ascii="Times New Roman" w:hAnsi="Times New Roman" w:cs="Times New Roman"/>
          <w:sz w:val="24"/>
          <w:szCs w:val="24"/>
        </w:rPr>
        <w:t>). На склонах гребней крупнообломочный материал постепенно замещается разнозернистыми песками, преимущественно с косой слоистостью, иногда с прослоями гравийно-галечного материала, что хорошо демонстрируют отложения, вскрытые в расчистке С (</w:t>
      </w:r>
      <w:r>
        <w:rPr>
          <w:rFonts w:ascii="Times New Roman" w:hAnsi="Times New Roman" w:cs="Times New Roman"/>
          <w:sz w:val="24"/>
          <w:szCs w:val="24"/>
          <w:highlight w:val="yellow"/>
        </w:rPr>
        <w:t xml:space="preserve">Рис. Х5, </w:t>
      </w:r>
      <w:r>
        <w:rPr>
          <w:rFonts w:ascii="Times New Roman" w:hAnsi="Times New Roman" w:cs="Times New Roman"/>
          <w:sz w:val="24"/>
          <w:szCs w:val="24"/>
          <w:highlight w:val="yellow"/>
          <w:lang w:val="en-US"/>
        </w:rPr>
        <w:t>e</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f</w:t>
      </w:r>
      <w:r>
        <w:rPr>
          <w:rFonts w:ascii="Times New Roman" w:hAnsi="Times New Roman" w:cs="Times New Roman"/>
          <w:sz w:val="24"/>
          <w:szCs w:val="24"/>
        </w:rPr>
        <w:t>) – разнозернистые пески с прослоями и линзами гравийно-галечного материала с валунами. Слоистость в видимой части разреза наклонная или крупнолинзовидная, с падением в юго-восточном направлении; угол наклона линз в слое постепенно убывает на восток. Над этой пачкой залегают субгоризонтально слоистые тонко- и мелкозернистые пески, с прослоями алевритов, вскрытые в расчистке В.</w:t>
      </w:r>
    </w:p>
    <w:p w14:paraId="3B5505B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 югу от карьера во впадине между гребнями двух озовых гряд в гляциокарстовой котловине на отметке 48.2 м н.у.м. расположено небольшое озеро глубиной до 1.5 м (</w:t>
      </w:r>
      <w:r>
        <w:rPr>
          <w:rFonts w:ascii="Times New Roman" w:hAnsi="Times New Roman" w:cs="Times New Roman"/>
          <w:sz w:val="24"/>
          <w:szCs w:val="24"/>
          <w:highlight w:val="yellow"/>
        </w:rPr>
        <w:t>7 на Рис. 1, Fig. 2</w:t>
      </w:r>
      <w:r>
        <w:rPr>
          <w:rFonts w:ascii="Times New Roman" w:hAnsi="Times New Roman" w:cs="Times New Roman"/>
          <w:sz w:val="24"/>
          <w:szCs w:val="24"/>
          <w:highlight w:val="yellow"/>
          <w:lang w:val="en-US"/>
        </w:rPr>
        <w:t>I</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unit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D</w:t>
      </w:r>
      <w:r>
        <w:rPr>
          <w:rFonts w:ascii="Times New Roman" w:hAnsi="Times New Roman" w:cs="Times New Roman"/>
          <w:sz w:val="24"/>
          <w:szCs w:val="24"/>
        </w:rPr>
        <w:t>). Строение разреза донных отложений снизу вверх следующее: 6.46–6.25 м – глина алевритистая с примесью тонкозернистого песка, серая с зеленовато-бурым оттенком, с рассеянной органикой, пластичная, хорошо прослеживается градационная слоистость; 6.25–6.07 м – гиттия тёмно-коричневая, очень плотная, органогенная, в нижней части – слоистая, которая, согласно результатам радиоуглеродного датирования, накапливалась в период 7600–6000 кал. л.н. (</w:t>
      </w:r>
      <w:r>
        <w:rPr>
          <w:rFonts w:ascii="Times New Roman" w:hAnsi="Times New Roman" w:cs="Times New Roman"/>
          <w:sz w:val="24"/>
          <w:szCs w:val="24"/>
          <w:highlight w:val="yellow"/>
          <w:lang w:val="en-US"/>
        </w:rPr>
        <w:t>Table</w:t>
      </w:r>
      <w:r>
        <w:rPr>
          <w:rFonts w:ascii="Times New Roman" w:hAnsi="Times New Roman" w:cs="Times New Roman"/>
          <w:sz w:val="24"/>
          <w:szCs w:val="24"/>
          <w:highlight w:val="yellow"/>
        </w:rPr>
        <w:t xml:space="preserve"> 2</w:t>
      </w:r>
      <w:r>
        <w:rPr>
          <w:rFonts w:ascii="Times New Roman" w:hAnsi="Times New Roman" w:cs="Times New Roman"/>
          <w:sz w:val="24"/>
          <w:szCs w:val="24"/>
        </w:rPr>
        <w:t>); 6.07–1.5 м – торф, к низу очень плотный, нижняя граница резкая и чёткая. По данным диатомового анализа, в нижней части донных отложений (6.46–6.07 м) выделено 4 диатомовые зоны (</w:t>
      </w:r>
      <w:r>
        <w:rPr>
          <w:rFonts w:ascii="Times New Roman" w:hAnsi="Times New Roman" w:cs="Times New Roman"/>
          <w:sz w:val="24"/>
          <w:szCs w:val="24"/>
          <w:highlight w:val="yellow"/>
        </w:rPr>
        <w:t xml:space="preserve">Fig. </w:t>
      </w:r>
      <w:r>
        <w:rPr>
          <w:rFonts w:ascii="Times New Roman" w:hAnsi="Times New Roman" w:cs="Times New Roman"/>
          <w:sz w:val="24"/>
          <w:szCs w:val="24"/>
        </w:rPr>
        <w:t xml:space="preserve">Х8). В нижней части минерогенных отложений (6.46-6.40 м, ДЗ 1) концентрация створок диатомей 10-40 млн./г. Отмечается высокое таксономическое разнообразие, доминируют планктонные и бентосные морские и солоноватоводные виды: </w:t>
      </w:r>
      <w:r>
        <w:rPr>
          <w:rFonts w:ascii="Times New Roman" w:hAnsi="Times New Roman" w:cs="Times New Roman"/>
          <w:i/>
          <w:iCs/>
          <w:sz w:val="24"/>
          <w:szCs w:val="24"/>
        </w:rPr>
        <w:t>Pauliella taeniata</w:t>
      </w:r>
      <w:r>
        <w:rPr>
          <w:rFonts w:ascii="Times New Roman" w:hAnsi="Times New Roman" w:cs="Times New Roman"/>
          <w:sz w:val="24"/>
          <w:szCs w:val="24"/>
        </w:rPr>
        <w:t xml:space="preserve">, </w:t>
      </w:r>
      <w:r>
        <w:rPr>
          <w:rFonts w:ascii="Times New Roman" w:hAnsi="Times New Roman" w:cs="Times New Roman"/>
          <w:i/>
          <w:iCs/>
          <w:sz w:val="24"/>
          <w:szCs w:val="24"/>
        </w:rPr>
        <w:t>Bacterosira bathyomphala</w:t>
      </w:r>
      <w:r>
        <w:rPr>
          <w:rFonts w:ascii="Times New Roman" w:hAnsi="Times New Roman" w:cs="Times New Roman"/>
          <w:sz w:val="24"/>
          <w:szCs w:val="24"/>
        </w:rPr>
        <w:t xml:space="preserve">, </w:t>
      </w:r>
      <w:r>
        <w:rPr>
          <w:rFonts w:ascii="Times New Roman" w:hAnsi="Times New Roman" w:cs="Times New Roman"/>
          <w:i/>
          <w:iCs/>
          <w:sz w:val="24"/>
          <w:szCs w:val="24"/>
        </w:rPr>
        <w:t>Thalassiosira</w:t>
      </w:r>
      <w:r>
        <w:rPr>
          <w:rFonts w:ascii="Times New Roman" w:hAnsi="Times New Roman" w:cs="Times New Roman"/>
          <w:sz w:val="24"/>
          <w:szCs w:val="24"/>
        </w:rPr>
        <w:t xml:space="preserve"> spp. и др. В интервале 6.40–6.29 м (ДЗ 2) наблюдается уменьшение таксономического разнообразия, выпадение из состава планктонных видов, сокращение доли типичных морских видов, возрастание концентрации створок вверх по разрезу до 300 млн./г за счет массового развития мелкоклеточных видов семейства </w:t>
      </w:r>
      <w:r>
        <w:rPr>
          <w:rFonts w:ascii="Times New Roman" w:hAnsi="Times New Roman" w:cs="Times New Roman"/>
          <w:sz w:val="24"/>
          <w:szCs w:val="24"/>
          <w:lang w:val="en-US"/>
        </w:rPr>
        <w:t>Fragilariaceae</w:t>
      </w:r>
      <w:r>
        <w:rPr>
          <w:rFonts w:ascii="Times New Roman" w:hAnsi="Times New Roman" w:cs="Times New Roman"/>
          <w:sz w:val="24"/>
          <w:szCs w:val="24"/>
        </w:rPr>
        <w:t xml:space="preserve">, солоноватоводных и эвригалинных: </w:t>
      </w:r>
      <w:r>
        <w:rPr>
          <w:rFonts w:ascii="Times New Roman" w:hAnsi="Times New Roman" w:cs="Times New Roman"/>
          <w:i/>
          <w:iCs/>
          <w:sz w:val="24"/>
          <w:szCs w:val="24"/>
          <w:lang w:val="en-US"/>
        </w:rPr>
        <w:t>Pseudostaurosira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subsalina</w:t>
      </w:r>
      <w:r>
        <w:rPr>
          <w:rFonts w:ascii="Times New Roman" w:hAnsi="Times New Roman" w:cs="Times New Roman"/>
          <w:sz w:val="24"/>
          <w:szCs w:val="24"/>
        </w:rPr>
        <w:t xml:space="preserve">, </w:t>
      </w:r>
      <w:r>
        <w:rPr>
          <w:rFonts w:ascii="Times New Roman" w:hAnsi="Times New Roman" w:cs="Times New Roman"/>
          <w:i/>
          <w:iCs/>
          <w:sz w:val="24"/>
          <w:szCs w:val="24"/>
          <w:lang w:val="en-US"/>
        </w:rPr>
        <w:t>Staurosirella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guenter</w:t>
      </w:r>
      <w:r>
        <w:rPr>
          <w:rFonts w:ascii="Times New Roman" w:hAnsi="Times New Roman" w:cs="Times New Roman"/>
          <w:i/>
          <w:iCs/>
          <w:sz w:val="24"/>
          <w:szCs w:val="24"/>
        </w:rPr>
        <w:t>-</w:t>
      </w:r>
      <w:r>
        <w:rPr>
          <w:rFonts w:ascii="Times New Roman" w:hAnsi="Times New Roman" w:cs="Times New Roman"/>
          <w:i/>
          <w:iCs/>
          <w:sz w:val="24"/>
          <w:szCs w:val="24"/>
          <w:lang w:val="en-US"/>
        </w:rPr>
        <w:t>grassii</w:t>
      </w:r>
      <w:r>
        <w:rPr>
          <w:rFonts w:ascii="Times New Roman" w:hAnsi="Times New Roman" w:cs="Times New Roman"/>
          <w:sz w:val="24"/>
          <w:szCs w:val="24"/>
        </w:rPr>
        <w:t xml:space="preserve">, </w:t>
      </w:r>
      <w:r>
        <w:rPr>
          <w:rFonts w:ascii="Times New Roman" w:hAnsi="Times New Roman" w:cs="Times New Roman"/>
          <w:i/>
          <w:iCs/>
          <w:sz w:val="24"/>
          <w:szCs w:val="24"/>
          <w:lang w:val="en-US"/>
        </w:rPr>
        <w:t>Nanofrustulum</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sopotensis</w:t>
      </w:r>
      <w:r>
        <w:rPr>
          <w:rFonts w:ascii="Times New Roman" w:hAnsi="Times New Roman" w:cs="Times New Roman"/>
          <w:sz w:val="24"/>
          <w:szCs w:val="24"/>
        </w:rPr>
        <w:t xml:space="preserve"> и др. Гиттия в интервале 6.29–6.20 м характеризуется уменьшением концентраций створок диатомей вверх по разрезу до 10-15 млн./г, в составе ассоциаций появляются пресноводные виды </w:t>
      </w:r>
      <w:r>
        <w:rPr>
          <w:rFonts w:ascii="Times New Roman" w:hAnsi="Times New Roman" w:cs="Times New Roman"/>
          <w:i/>
          <w:iCs/>
          <w:sz w:val="24"/>
          <w:szCs w:val="24"/>
          <w:lang w:val="en-US"/>
        </w:rPr>
        <w:t>Stauroneis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и другие, доля которых возрастает вверх по разрезу до 35 %. Здесь же отмечаются существенное увеличение содержания в отложениях цист золотистых водорослей и максимальные значения </w:t>
      </w:r>
      <w:r>
        <w:rPr>
          <w:rFonts w:ascii="Times New Roman" w:hAnsi="Times New Roman" w:cs="Times New Roman"/>
          <w:sz w:val="24"/>
          <w:szCs w:val="24"/>
          <w:lang w:val="en-US"/>
        </w:rPr>
        <w:t>C</w:t>
      </w:r>
      <w:r>
        <w:rPr>
          <w:rFonts w:ascii="Times New Roman" w:hAnsi="Times New Roman" w:cs="Times New Roman"/>
          <w:sz w:val="24"/>
          <w:szCs w:val="24"/>
        </w:rPr>
        <w:t>/</w:t>
      </w:r>
      <w:r>
        <w:rPr>
          <w:rFonts w:ascii="Times New Roman" w:hAnsi="Times New Roman" w:cs="Times New Roman"/>
          <w:sz w:val="24"/>
          <w:szCs w:val="24"/>
          <w:lang w:val="en-US"/>
        </w:rPr>
        <w:t>D</w:t>
      </w:r>
      <w:r>
        <w:rPr>
          <w:rFonts w:ascii="Times New Roman" w:hAnsi="Times New Roman" w:cs="Times New Roman"/>
          <w:sz w:val="24"/>
          <w:szCs w:val="24"/>
        </w:rPr>
        <w:t xml:space="preserve"> индекса (соотношения концентраций стоматоцисты/ диатомеи). Выше, в неслоистой гиттии в интервале 6.20–6.07 м (ДЗ 4), наблюдается увеличение концентраций диатомей и стомаитоцист, уменьшение таксономического разнообразия и доминирование типичных пресноводных видов (95-100 %):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Brachysira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Frustulia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Stauroforma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exoguiformis</w:t>
      </w:r>
      <w:r>
        <w:rPr>
          <w:rFonts w:ascii="Times New Roman" w:hAnsi="Times New Roman" w:cs="Times New Roman"/>
          <w:sz w:val="24"/>
          <w:szCs w:val="24"/>
        </w:rPr>
        <w:t>.</w:t>
      </w:r>
    </w:p>
    <w:p w14:paraId="20A1EE8F">
      <w:pPr>
        <w:spacing w:after="0" w:line="360" w:lineRule="auto"/>
        <w:jc w:val="both"/>
        <w:rPr>
          <w:rFonts w:ascii="Times New Roman" w:hAnsi="Times New Roman" w:cs="Times New Roman"/>
          <w:sz w:val="24"/>
          <w:szCs w:val="24"/>
        </w:rPr>
      </w:pPr>
      <w:r>
        <w:rPr>
          <w:rFonts w:ascii="Times New Roman" w:hAnsi="Times New Roman" w:cs="Times New Roman"/>
          <w:sz w:val="24"/>
          <w:szCs w:val="24"/>
          <w:lang w:eastAsia="ru-RU"/>
        </w:rPr>
        <w:drawing>
          <wp:inline distT="0" distB="0" distL="0" distR="0">
            <wp:extent cx="5940425" cy="20015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001520"/>
                    </a:xfrm>
                    <a:prstGeom prst="rect">
                      <a:avLst/>
                    </a:prstGeom>
                  </pic:spPr>
                </pic:pic>
              </a:graphicData>
            </a:graphic>
          </wp:inline>
        </w:drawing>
      </w:r>
    </w:p>
    <w:p w14:paraId="449BFEB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highlight w:val="yellow"/>
          <w:lang w:val="en-US"/>
        </w:rPr>
        <w:t>Fig</w:t>
      </w:r>
      <w:r>
        <w:rPr>
          <w:rFonts w:ascii="Times New Roman" w:hAnsi="Times New Roman" w:cs="Times New Roman"/>
          <w:b/>
          <w:bCs/>
          <w:sz w:val="24"/>
          <w:szCs w:val="24"/>
          <w:highlight w:val="yellow"/>
        </w:rPr>
        <w:t>. Х8</w:t>
      </w:r>
      <w:r>
        <w:rPr>
          <w:rFonts w:ascii="Times New Roman" w:hAnsi="Times New Roman" w:cs="Times New Roman"/>
          <w:sz w:val="24"/>
          <w:szCs w:val="24"/>
          <w:highlight w:val="yellow"/>
        </w:rPr>
        <w:t>.</w:t>
      </w:r>
      <w:r>
        <w:rPr>
          <w:rFonts w:ascii="Times New Roman" w:hAnsi="Times New Roman" w:cs="Times New Roman"/>
          <w:sz w:val="24"/>
          <w:szCs w:val="24"/>
        </w:rPr>
        <w:t xml:space="preserve"> Диатомовая диаграмма донных отложений озера </w:t>
      </w:r>
      <w:r>
        <w:rPr>
          <w:rFonts w:ascii="Times New Roman" w:hAnsi="Times New Roman" w:cs="Times New Roman"/>
          <w:sz w:val="24"/>
          <w:szCs w:val="24"/>
          <w:lang w:val="en-US"/>
        </w:rPr>
        <w:t>D</w:t>
      </w:r>
      <w:r>
        <w:rPr>
          <w:rFonts w:ascii="Times New Roman" w:hAnsi="Times New Roman" w:cs="Times New Roman"/>
          <w:sz w:val="24"/>
          <w:szCs w:val="24"/>
        </w:rPr>
        <w:t>. Показаны виды, отмеченные в количестве 3 % и более хотя бы в 1 образце.</w:t>
      </w:r>
    </w:p>
    <w:p w14:paraId="49FC9F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Для изучения южного соединения Колвицкого озера с бассейном Белого моря  через ложбину субмеридионального простирания к северу от оз. Плотичье (66.92185</w:t>
      </w:r>
      <w:r>
        <w:rPr>
          <w:rFonts w:ascii="Times New Roman" w:hAnsi="Times New Roman" w:cs="Times New Roman"/>
          <w:sz w:val="24"/>
          <w:szCs w:val="24"/>
        </w:rPr>
        <w:sym w:font="Symbol" w:char="F0B0"/>
      </w:r>
      <w:r>
        <w:rPr>
          <w:rFonts w:ascii="Times New Roman" w:hAnsi="Times New Roman" w:cs="Times New Roman"/>
          <w:sz w:val="24"/>
          <w:szCs w:val="24"/>
        </w:rPr>
        <w:t xml:space="preserve"> с.ш., 33.61451</w:t>
      </w:r>
      <w:r>
        <w:rPr>
          <w:rFonts w:ascii="Times New Roman" w:hAnsi="Times New Roman" w:cs="Times New Roman"/>
          <w:sz w:val="24"/>
          <w:szCs w:val="24"/>
        </w:rPr>
        <w:sym w:font="Symbol" w:char="F0B0"/>
      </w:r>
      <w:r>
        <w:rPr>
          <w:rFonts w:ascii="Times New Roman" w:hAnsi="Times New Roman" w:cs="Times New Roman"/>
          <w:sz w:val="24"/>
          <w:szCs w:val="24"/>
        </w:rPr>
        <w:t xml:space="preserve"> в.д.) была пробурена серия скважин по поперечному профилю. Ближе к бортам ложбины на поверхность выходит тёмно-серый песчанистый диамиктон с гравием, галькой и валунами, к низу более оглиненный, по направлению к тальвегу ложбины на нём появляется слой пластичной светло-коричневой алевритистой глины с тонкими прослоями разнозернистого песка и редкими включениями обломков. В скважине в центральной части ложбины на диамиктоне (пройденная мощность 11.25–6.25 м) и алевритистой глине (6.25–5.0 м) залегает серый мелкозернистый песок, переслаивающийся с зеленовато-серым алевритом (5.0–4.3 м). На нём с резким контактом лежит мелко-тонкозернистый бежевый песок с крупными прослоями разнозернистого песка и гравия (4.3–1.3 м): из нижней части слоя была получена ОСЛ-дата 11.9±1.3 т.л. (</w:t>
      </w:r>
      <w:r>
        <w:rPr>
          <w:rFonts w:ascii="Times New Roman" w:hAnsi="Times New Roman" w:cs="Times New Roman"/>
          <w:sz w:val="24"/>
          <w:szCs w:val="24"/>
          <w:lang w:val="en-US"/>
        </w:rPr>
        <w:t>RGI</w:t>
      </w:r>
      <w:r>
        <w:rPr>
          <w:rFonts w:ascii="Times New Roman" w:hAnsi="Times New Roman" w:cs="Times New Roman"/>
          <w:sz w:val="24"/>
          <w:szCs w:val="24"/>
        </w:rPr>
        <w:t>-</w:t>
      </w:r>
      <w:r>
        <w:rPr>
          <w:rFonts w:ascii="Times New Roman" w:hAnsi="Times New Roman" w:cs="Times New Roman"/>
          <w:sz w:val="24"/>
          <w:szCs w:val="24"/>
          <w:lang w:val="en-US"/>
        </w:rPr>
        <w:t>1</w:t>
      </w:r>
      <w:r>
        <w:rPr>
          <w:rFonts w:ascii="Times New Roman" w:hAnsi="Times New Roman" w:cs="Times New Roman"/>
          <w:sz w:val="24"/>
          <w:szCs w:val="24"/>
        </w:rPr>
        <w:t xml:space="preserve">428). В кровле разреза (1.3–0 м) – мелкозернистый, в верхней части пылеватый песок с прослоями разнозернистого песка и редкими прослоями алеврита.  </w:t>
      </w:r>
    </w:p>
    <w:p w14:paraId="72F2A19D">
      <w:pPr>
        <w:spacing w:after="0" w:line="360" w:lineRule="auto"/>
        <w:ind w:firstLine="709"/>
        <w:jc w:val="both"/>
        <w:rPr>
          <w:rFonts w:ascii="Times New Roman" w:hAnsi="Times New Roman" w:cs="Times New Roman"/>
          <w:sz w:val="24"/>
          <w:szCs w:val="24"/>
        </w:rPr>
      </w:pPr>
    </w:p>
    <w:p w14:paraId="18EFD877">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ОБСУЖДЕНИЕ РЕЗУЛЬТАТОВ</w:t>
      </w:r>
    </w:p>
    <w:p w14:paraId="5645A45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Анализ полученных данных показал, что облик рельефа Колвицкой ложбины сформировался в ходе дегляциации Кандалакшского берега Белого моря и последовавшей морской трансгрессии в позднеледниковье, когда территория ещё не прошла стадию гляциоизостатической компенсации после снятия ледниковой нагрузки. Это привело к частичной переработке ледниковых и флювиогляциальных форм рельефа морскими и береговыми процессами. Последующее гляциоизостатическое поднятие привело к смещению береговой линии и окончательное отделение этой территории от моря в раннем голоцене.  </w:t>
      </w:r>
    </w:p>
    <w:p w14:paraId="121A0F0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Строение параллельно-</w:t>
      </w:r>
      <w:r>
        <w:rPr>
          <w:rFonts w:ascii="Times New Roman" w:hAnsi="Times New Roman" w:cs="Times New Roman"/>
          <w:sz w:val="24"/>
          <w:szCs w:val="24"/>
          <w:highlight w:val="cyan"/>
        </w:rPr>
        <w:t>грядового</w:t>
      </w:r>
      <w:r>
        <w:rPr>
          <w:rFonts w:ascii="Times New Roman" w:hAnsi="Times New Roman" w:cs="Times New Roman"/>
          <w:sz w:val="24"/>
          <w:szCs w:val="24"/>
        </w:rPr>
        <w:t xml:space="preserve"> рельефа моренных </w:t>
      </w:r>
      <w:r>
        <w:rPr>
          <w:rFonts w:ascii="Times New Roman" w:hAnsi="Times New Roman" w:cs="Times New Roman"/>
          <w:sz w:val="24"/>
          <w:szCs w:val="24"/>
          <w:highlight w:val="cyan"/>
        </w:rPr>
        <w:t>гряд</w:t>
      </w:r>
      <w:r>
        <w:rPr>
          <w:rFonts w:ascii="Times New Roman" w:hAnsi="Times New Roman" w:cs="Times New Roman"/>
          <w:sz w:val="24"/>
          <w:szCs w:val="24"/>
        </w:rPr>
        <w:t xml:space="preserve"> в Колвицкой ложбине позволяет достаточно надежно сопоставить их с ребристыми, или роген-моренами. В изученных грядах формообразующими отложениями является оливково-серый диамиктон мощностью до 6–8 м, иногда с характерной тонкой линзовидной слоистостью. Характер расположения линз отчетливо указывает на гляциодинамическую текстуру отложений, а падение большинства линз установлено в западном направлении (</w:t>
      </w:r>
      <w:r>
        <w:rPr>
          <w:rFonts w:ascii="Times New Roman" w:hAnsi="Times New Roman" w:cs="Times New Roman"/>
          <w:sz w:val="24"/>
          <w:szCs w:val="24"/>
          <w:highlight w:val="yellow"/>
        </w:rPr>
        <w:t>Рис. Х3, диаграмма А</w:t>
      </w:r>
      <w:r>
        <w:rPr>
          <w:rFonts w:ascii="Times New Roman" w:hAnsi="Times New Roman" w:cs="Times New Roman"/>
          <w:sz w:val="24"/>
          <w:szCs w:val="24"/>
        </w:rPr>
        <w:t xml:space="preserve">) – в основном, перпендикулярно простиранию самой гряды. Похожим образом ориентированы и длинные оси галек и валунов </w:t>
      </w:r>
      <w:r>
        <w:rPr>
          <w:rFonts w:ascii="Times New Roman" w:hAnsi="Times New Roman" w:cs="Times New Roman"/>
          <w:sz w:val="24"/>
          <w:szCs w:val="24"/>
          <w:highlight w:val="yellow"/>
        </w:rPr>
        <w:t xml:space="preserve">(Рис. Х3, В). </w:t>
      </w:r>
      <w:r>
        <w:rPr>
          <w:rFonts w:ascii="Times New Roman" w:hAnsi="Times New Roman" w:cs="Times New Roman"/>
          <w:sz w:val="24"/>
          <w:szCs w:val="24"/>
        </w:rPr>
        <w:t xml:space="preserve">Результаты структурного анализа показывают, что давление льда шло, в основном, в восточном направлении. Согласно представлениям о строении ребристых морен, такие условия возникали при торможении ледниковой лопасти или языка и возникновении там системы поперечных трещин и зон напряжения. В эти ослабленные зоны впоследствии и выжимался моренный материал </w:t>
      </w:r>
      <w:r>
        <w:rPr>
          <w:rFonts w:ascii="Times New Roman" w:hAnsi="Times New Roman" w:cs="Times New Roman"/>
          <w:sz w:val="24"/>
          <w:szCs w:val="24"/>
          <w:highlight w:val="yellow"/>
        </w:rPr>
        <w:t xml:space="preserve">(Лаврушин, 1976; Каплянская, Тарноградский, 1993; </w:t>
      </w:r>
      <w:r>
        <w:rPr>
          <w:rFonts w:ascii="Times New Roman" w:hAnsi="Times New Roman" w:cs="Times New Roman"/>
          <w:sz w:val="24"/>
          <w:szCs w:val="24"/>
          <w:highlight w:val="yellow"/>
          <w:lang w:val="en-US"/>
        </w:rPr>
        <w:t>M</w:t>
      </w:r>
      <w:r>
        <w:rPr>
          <w:rFonts w:ascii="Times New Roman" w:hAnsi="Times New Roman" w:cs="Times New Roman"/>
          <w:sz w:val="24"/>
          <w:szCs w:val="24"/>
          <w:highlight w:val="yellow"/>
        </w:rPr>
        <w:t>ö</w:t>
      </w:r>
      <w:r>
        <w:rPr>
          <w:rFonts w:ascii="Times New Roman" w:hAnsi="Times New Roman" w:cs="Times New Roman"/>
          <w:sz w:val="24"/>
          <w:szCs w:val="24"/>
          <w:highlight w:val="yellow"/>
          <w:lang w:val="en-US"/>
        </w:rPr>
        <w:t>ller</w:t>
      </w:r>
      <w:r>
        <w:rPr>
          <w:rFonts w:ascii="Times New Roman" w:hAnsi="Times New Roman" w:cs="Times New Roman"/>
          <w:sz w:val="24"/>
          <w:szCs w:val="24"/>
          <w:highlight w:val="yellow"/>
        </w:rPr>
        <w:t xml:space="preserve">, 2006). </w:t>
      </w:r>
      <w:r>
        <w:rPr>
          <w:rFonts w:ascii="Times New Roman" w:hAnsi="Times New Roman" w:cs="Times New Roman"/>
          <w:sz w:val="24"/>
          <w:szCs w:val="24"/>
        </w:rPr>
        <w:t>В Колвицкой ложбине, однако, в строении гряд также установлены и диамиктоны без отчетливой упорядоченной текстуры и неоднородным распределением падения длинных осей гальки (</w:t>
      </w:r>
      <w:r>
        <w:rPr>
          <w:rFonts w:ascii="Times New Roman" w:hAnsi="Times New Roman" w:cs="Times New Roman"/>
          <w:sz w:val="24"/>
          <w:szCs w:val="24"/>
          <w:highlight w:val="yellow"/>
        </w:rPr>
        <w:t>Рис. Х3, б2, диаграмма Е</w:t>
      </w:r>
      <w:r>
        <w:rPr>
          <w:rFonts w:ascii="Times New Roman" w:hAnsi="Times New Roman" w:cs="Times New Roman"/>
          <w:sz w:val="24"/>
          <w:szCs w:val="24"/>
        </w:rPr>
        <w:t>). Отдельные гряды в системе параллельно-грядового рельефа в осевой части ложбины могут быть связаны и с небольшими выступами поверхности кристаллических пород (</w:t>
      </w:r>
      <w:r>
        <w:rPr>
          <w:rFonts w:ascii="Times New Roman" w:hAnsi="Times New Roman" w:cs="Times New Roman"/>
          <w:sz w:val="24"/>
          <w:szCs w:val="24"/>
          <w:highlight w:val="yellow"/>
        </w:rPr>
        <w:t>Рис. Х3, б1</w:t>
      </w:r>
      <w:r>
        <w:rPr>
          <w:rFonts w:ascii="Times New Roman" w:hAnsi="Times New Roman" w:cs="Times New Roman"/>
          <w:sz w:val="24"/>
          <w:szCs w:val="24"/>
        </w:rPr>
        <w:t xml:space="preserve">). </w:t>
      </w:r>
    </w:p>
    <w:p w14:paraId="25D3DFD2">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Формирование ребристых морен в Колвицкой ложбине происходило в субгляциальных условиях в период существования активного ледника так называемой невской фазы активизации, около 14.1–13.9 тыс л.н.</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xml:space="preserve">). Условия для выдавливания блоков и чешуй под ледником в перпендикулярные направлению его давления ослабленные зоны могли возникать в результате постепенного торможения активной ледниковой лопасти в пределах понижений ледникового субстрата </w:t>
      </w:r>
      <w:r>
        <w:rPr>
          <w:rFonts w:ascii="Times New Roman" w:hAnsi="Times New Roman" w:cs="Times New Roman"/>
          <w:sz w:val="24"/>
          <w:szCs w:val="24"/>
          <w:highlight w:val="yellow"/>
        </w:rPr>
        <w:t>(</w:t>
      </w:r>
      <w:r>
        <w:rPr>
          <w:rFonts w:ascii="Times New Roman" w:hAnsi="Times New Roman" w:cs="Times New Roman"/>
          <w:sz w:val="24"/>
          <w:szCs w:val="24"/>
          <w:highlight w:val="yellow"/>
          <w:lang w:val="en-US"/>
        </w:rPr>
        <w:t>Aario</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Forsstr</w:t>
      </w:r>
      <w:r>
        <w:rPr>
          <w:rFonts w:ascii="Times New Roman" w:hAnsi="Times New Roman" w:cs="Times New Roman"/>
          <w:sz w:val="24"/>
          <w:szCs w:val="24"/>
          <w:highlight w:val="yellow"/>
        </w:rPr>
        <w:t>ö</w:t>
      </w:r>
      <w:r>
        <w:rPr>
          <w:rFonts w:ascii="Times New Roman" w:hAnsi="Times New Roman" w:cs="Times New Roman"/>
          <w:sz w:val="24"/>
          <w:szCs w:val="24"/>
          <w:highlight w:val="yellow"/>
          <w:lang w:val="en-US"/>
        </w:rPr>
        <w:t>m</w:t>
      </w:r>
      <w:r>
        <w:rPr>
          <w:rFonts w:ascii="Times New Roman" w:hAnsi="Times New Roman" w:cs="Times New Roman"/>
          <w:sz w:val="24"/>
          <w:szCs w:val="24"/>
          <w:highlight w:val="yellow"/>
        </w:rPr>
        <w:t xml:space="preserve">, 1979; </w:t>
      </w:r>
      <w:r>
        <w:rPr>
          <w:rFonts w:ascii="Times New Roman" w:hAnsi="Times New Roman" w:cs="Times New Roman"/>
          <w:sz w:val="24"/>
          <w:szCs w:val="24"/>
          <w:highlight w:val="yellow"/>
          <w:lang w:val="en-US"/>
        </w:rPr>
        <w:t>M</w:t>
      </w:r>
      <w:r>
        <w:rPr>
          <w:rFonts w:ascii="Times New Roman" w:hAnsi="Times New Roman" w:cs="Times New Roman"/>
          <w:sz w:val="24"/>
          <w:szCs w:val="24"/>
          <w:highlight w:val="yellow"/>
        </w:rPr>
        <w:t>ö</w:t>
      </w:r>
      <w:r>
        <w:rPr>
          <w:rFonts w:ascii="Times New Roman" w:hAnsi="Times New Roman" w:cs="Times New Roman"/>
          <w:sz w:val="24"/>
          <w:szCs w:val="24"/>
          <w:highlight w:val="yellow"/>
          <w:lang w:val="en-US"/>
        </w:rPr>
        <w:t>ller</w:t>
      </w:r>
      <w:r>
        <w:rPr>
          <w:rFonts w:ascii="Times New Roman" w:hAnsi="Times New Roman" w:cs="Times New Roman"/>
          <w:sz w:val="24"/>
          <w:szCs w:val="24"/>
          <w:highlight w:val="yellow"/>
        </w:rPr>
        <w:t xml:space="preserve">, 2006). </w:t>
      </w:r>
      <w:r>
        <w:rPr>
          <w:rFonts w:ascii="Times New Roman" w:hAnsi="Times New Roman" w:cs="Times New Roman"/>
          <w:sz w:val="24"/>
          <w:szCs w:val="24"/>
        </w:rPr>
        <w:t>Такие условия полностью отвечают имеющимся в Колвицкой ложбине, а замедление в ней ледниковой лопасти могло происходить из-за ее сочленения в районе Колвицкого озера с более активной лопастью (</w:t>
      </w:r>
      <w:r>
        <w:rPr>
          <w:rFonts w:ascii="Times New Roman" w:hAnsi="Times New Roman" w:cs="Times New Roman"/>
          <w:sz w:val="24"/>
          <w:szCs w:val="24"/>
          <w:highlight w:val="yellow"/>
        </w:rPr>
        <w:t>Рис. Х9, а</w:t>
      </w:r>
      <w:r>
        <w:rPr>
          <w:rFonts w:ascii="Times New Roman" w:hAnsi="Times New Roman" w:cs="Times New Roman"/>
          <w:sz w:val="24"/>
          <w:szCs w:val="24"/>
        </w:rPr>
        <w:t>). Данные о движении такой лопасти севернее массивов Ёлка-Тундра в юго-восточном направлении, в сторону губы Порья и района пос. Умба, получены как по ориентировке ледниково-экзарационных линейно ориентированных форм, так и по ребристым моренам вблизи оза Вересельга (</w:t>
      </w:r>
      <w:r>
        <w:rPr>
          <w:rFonts w:ascii="Times New Roman" w:hAnsi="Times New Roman" w:cs="Times New Roman"/>
          <w:sz w:val="24"/>
          <w:szCs w:val="24"/>
          <w:highlight w:val="yellow"/>
          <w:lang w:val="en-US"/>
        </w:rPr>
        <w:t>Wishborrow</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2010;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w:t>
      </w:r>
      <w:r>
        <w:rPr>
          <w:rFonts w:ascii="Times New Roman" w:hAnsi="Times New Roman" w:cs="Times New Roman"/>
          <w:sz w:val="24"/>
          <w:szCs w:val="24"/>
        </w:rPr>
        <w:t xml:space="preserve">2). В то время в Колвицкой ложбине находилась зона преимущественно мерзлого подледникового субстрата на удалении от краевой зоны оледенения на 40–60 км </w:t>
      </w:r>
      <w:r>
        <w:rPr>
          <w:rFonts w:ascii="Times New Roman" w:hAnsi="Times New Roman" w:cs="Times New Roman"/>
          <w:sz w:val="24"/>
          <w:szCs w:val="24"/>
          <w:highlight w:val="yellow"/>
        </w:rPr>
        <w:t xml:space="preserve">(Каплянская, Тарноградский, 1993; </w:t>
      </w:r>
      <w:r>
        <w:rPr>
          <w:rFonts w:ascii="Times New Roman" w:hAnsi="Times New Roman" w:cs="Times New Roman"/>
          <w:sz w:val="24"/>
          <w:szCs w:val="24"/>
          <w:highlight w:val="yellow"/>
          <w:lang w:val="en-US"/>
        </w:rPr>
        <w:t>Benn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Evans</w:t>
      </w:r>
      <w:r>
        <w:rPr>
          <w:rFonts w:ascii="Times New Roman" w:hAnsi="Times New Roman" w:cs="Times New Roman"/>
          <w:sz w:val="24"/>
          <w:szCs w:val="24"/>
          <w:highlight w:val="yellow"/>
        </w:rPr>
        <w:t xml:space="preserve">, 1998). </w:t>
      </w:r>
    </w:p>
    <w:p w14:paraId="62DABB75">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Поэтапное сокращение ледникового покрова после его максимальной активизации около 14.1 тыс л.н. фиксируется по системе флювиогляциальных дельт радиального оза Вересельга </w:t>
      </w:r>
      <w:r>
        <w:rPr>
          <w:rFonts w:ascii="Times New Roman" w:hAnsi="Times New Roman" w:cs="Times New Roman"/>
          <w:sz w:val="24"/>
          <w:szCs w:val="24"/>
          <w:highlight w:val="yellow"/>
        </w:rPr>
        <w:t xml:space="preserve">(Вашков, Носова, 2021; </w:t>
      </w:r>
      <w:commentRangeStart w:id="15"/>
      <w:r>
        <w:rPr>
          <w:rFonts w:ascii="Times New Roman" w:hAnsi="Times New Roman" w:cs="Times New Roman"/>
          <w:sz w:val="24"/>
          <w:szCs w:val="24"/>
          <w:highlight w:val="yellow"/>
        </w:rPr>
        <w:t>Вашков, 2025</w:t>
      </w:r>
      <w:commentRangeEnd w:id="15"/>
      <w:r>
        <w:rPr>
          <w:rStyle w:val="5"/>
          <w:rFonts w:ascii="Times New Roman" w:hAnsi="Times New Roman" w:cs="Times New Roman"/>
          <w:sz w:val="24"/>
          <w:szCs w:val="24"/>
          <w:highlight w:val="yellow"/>
        </w:rPr>
        <w:commentReference w:id="15"/>
      </w:r>
      <w:r>
        <w:rPr>
          <w:rFonts w:ascii="Times New Roman" w:hAnsi="Times New Roman" w:cs="Times New Roman"/>
          <w:sz w:val="24"/>
          <w:szCs w:val="24"/>
          <w:highlight w:val="yellow"/>
        </w:rPr>
        <w:t xml:space="preserve">). </w:t>
      </w:r>
      <w:r>
        <w:rPr>
          <w:rFonts w:ascii="Times New Roman" w:hAnsi="Times New Roman" w:cs="Times New Roman"/>
          <w:sz w:val="24"/>
          <w:szCs w:val="24"/>
        </w:rPr>
        <w:t>Формирование отложений этой системы происходило, в основном, в субгляциальных условиях, на что указывает оптико-люминесцентный возраст отложений (от 17.9 тыс. л.н. и древнее): активная повторная засветка материала при формировании оза не произошла. Смещение ледникового края и вытаивание массивов льда на участке современного Колвицкого озера происходили достаточно быстро. В том числе это достигалось за счет формирования и проникновения в глубину суши приледникового, а позже и приледниково-морского бассейна, который способствовал выносу блоков мертвого льда и их более активному таянию (</w:t>
      </w:r>
      <w:r>
        <w:rPr>
          <w:rFonts w:ascii="Times New Roman" w:hAnsi="Times New Roman" w:cs="Times New Roman"/>
          <w:sz w:val="24"/>
          <w:szCs w:val="24"/>
          <w:highlight w:val="yellow"/>
        </w:rPr>
        <w:t xml:space="preserve">Колька и др., 2013;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2016;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В целом эти события совпадали по времени с открытием пролива Горло и восстановлением водообмена с Баренцевым морем и Мировым океаном. Совместно с запаздыванием гляциоизостатической релаксации, это соединение обусловило позднеледниковую трансгрессию Белого моря, которая, по данным разных авторов, датируется 13.9–12.9 тыс. лет назад (</w:t>
      </w:r>
      <w:r>
        <w:rPr>
          <w:rFonts w:ascii="Times New Roman" w:hAnsi="Times New Roman" w:cs="Times New Roman"/>
          <w:sz w:val="24"/>
          <w:szCs w:val="24"/>
          <w:highlight w:val="yellow"/>
        </w:rPr>
        <w:t>ссылки 22, 23</w:t>
      </w:r>
      <w:r>
        <w:rPr>
          <w:rFonts w:ascii="Times New Roman" w:hAnsi="Times New Roman" w:cs="Times New Roman"/>
          <w:sz w:val="24"/>
          <w:szCs w:val="24"/>
        </w:rPr>
        <w:t>). В результате на дистальном окончании канала стока талых вод в Колвицкой ложбине (будущий Колвицкий оз) до 13–13.5 тыс л.н. происходило формирование флювиогляциальной дельты, что подтверждается ОСЛ-датой 13.5±0.8 тыс. л.н (</w:t>
      </w:r>
      <w:r>
        <w:rPr>
          <w:rFonts w:ascii="Times New Roman" w:hAnsi="Times New Roman" w:cs="Times New Roman"/>
          <w:sz w:val="24"/>
          <w:szCs w:val="24"/>
          <w:highlight w:val="magenta"/>
        </w:rPr>
        <w:t xml:space="preserve">Рис. Х9, </w:t>
      </w:r>
      <w:r>
        <w:rPr>
          <w:rFonts w:ascii="Times New Roman" w:hAnsi="Times New Roman" w:cs="Times New Roman"/>
          <w:sz w:val="24"/>
          <w:szCs w:val="24"/>
          <w:highlight w:val="blue"/>
        </w:rPr>
        <w:t>б</w:t>
      </w:r>
      <w:r>
        <w:rPr>
          <w:rFonts w:ascii="Times New Roman" w:hAnsi="Times New Roman" w:cs="Times New Roman"/>
          <w:sz w:val="24"/>
          <w:szCs w:val="24"/>
        </w:rPr>
        <w:t>). Данные по конфигурации каналов стока (озов) и дельт в районе в основном опровергают более ранние интерпретации, по которым во время потепления аллерёд Колвицкая ложбина освобождалась ото льда, а восточнее, в котловине Колвицкого озера и далее к востоку существовал ледниковый покров, на краю которого формировались насыпные морены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2008; Евзеров, 2014</w:t>
      </w:r>
      <w:r>
        <w:rPr>
          <w:rFonts w:ascii="Times New Roman" w:hAnsi="Times New Roman" w:cs="Times New Roman"/>
          <w:sz w:val="24"/>
          <w:szCs w:val="24"/>
        </w:rPr>
        <w:t xml:space="preserve">). </w:t>
      </w:r>
    </w:p>
    <w:p w14:paraId="2D03B8D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 этим же этапом связано формирование Колвицкого оза по тальвегу ложбины. Участкам с наиболее сильным потоком отвечают современные гребневые части гряд, сложенные несортированным крупнообломочным материалом и вскрытые, например, в нижней части расчистки А в карьере (</w:t>
      </w:r>
      <w:r>
        <w:rPr>
          <w:rFonts w:ascii="Times New Roman" w:hAnsi="Times New Roman" w:cs="Times New Roman"/>
          <w:sz w:val="24"/>
          <w:szCs w:val="24"/>
          <w:highlight w:val="yellow"/>
        </w:rPr>
        <w:t>Рис Х5, а</w:t>
      </w:r>
      <w:r>
        <w:rPr>
          <w:rFonts w:ascii="Times New Roman" w:hAnsi="Times New Roman" w:cs="Times New Roman"/>
          <w:sz w:val="24"/>
          <w:szCs w:val="24"/>
        </w:rPr>
        <w:t>) (</w:t>
      </w:r>
      <w:r>
        <w:rPr>
          <w:rFonts w:ascii="Times New Roman" w:hAnsi="Times New Roman" w:cs="Times New Roman"/>
          <w:sz w:val="24"/>
          <w:szCs w:val="24"/>
          <w:highlight w:val="yellow"/>
        </w:rPr>
        <w:t>ссылка 20</w:t>
      </w:r>
      <w:r>
        <w:rPr>
          <w:rFonts w:ascii="Times New Roman" w:hAnsi="Times New Roman" w:cs="Times New Roman"/>
          <w:sz w:val="24"/>
          <w:szCs w:val="24"/>
        </w:rPr>
        <w:t>). Ширина потоков могла достигать 20–30 м, что видно по простиранию тел крупнообломочного материала в разрезе на р. Колвица (</w:t>
      </w:r>
      <w:r>
        <w:rPr>
          <w:rFonts w:ascii="Times New Roman" w:hAnsi="Times New Roman" w:cs="Times New Roman"/>
          <w:sz w:val="24"/>
          <w:szCs w:val="24"/>
          <w:highlight w:val="yellow"/>
        </w:rPr>
        <w:t xml:space="preserve">Зарецкая и др., </w:t>
      </w:r>
      <w:commentRangeStart w:id="16"/>
      <w:r>
        <w:rPr>
          <w:rFonts w:ascii="Times New Roman" w:hAnsi="Times New Roman" w:cs="Times New Roman"/>
          <w:sz w:val="24"/>
          <w:szCs w:val="24"/>
          <w:highlight w:val="yellow"/>
        </w:rPr>
        <w:t>2025</w:t>
      </w:r>
      <w:commentRangeEnd w:id="16"/>
      <w:r>
        <w:rPr>
          <w:rStyle w:val="5"/>
          <w:rFonts w:ascii="Times New Roman" w:hAnsi="Times New Roman" w:cs="Times New Roman"/>
          <w:sz w:val="24"/>
          <w:szCs w:val="24"/>
        </w:rPr>
        <w:commentReference w:id="16"/>
      </w:r>
      <w:r>
        <w:rPr>
          <w:rFonts w:ascii="Times New Roman" w:hAnsi="Times New Roman" w:cs="Times New Roman"/>
          <w:sz w:val="24"/>
          <w:szCs w:val="24"/>
        </w:rPr>
        <w:t>). Четкий контакт тел грубообломочного материала со врезом в подстилающие рыхлые отложения указывает на резкие смены направлений движения этого потока, а также быстрые изменения водности в канале стока. В отдельных случаях отмечалось разделение потока на несколько рукавов, при этом сохранявиеся останцы мертвого льда в потоке при последующем таянии обращались в замкнутые гляциокарстовые западины. В целом мощность ледника при формировании Колвицкого оза была небольшой, поток был в основном открытым, на что указывает отсутствие покрышки из моренного материала над флювиогляциальными отложениями. В отдельных случаях отмечаются признаки сплывания грязекаменного материала с ледяных бортов канала стока по линзам флоу-тиллов сложной формы. Строение площадок по периферии гребней гряд в целом отражает осадконакопление на периферии основных русел каналов стока. Скорость течения на этих участках была незначительной, а в отдельных эпизодах отмечались спокойные гидродинамические обстановки, сопровождавшиеся накоплением алевритов. Переходные зоны от основных русел каналов стока к их периферии характеризуются замещением в разрезе гравийно-галечного материала тонко- и мелкозернистыми песками, как это хорошо видно в карьере в расчистке С (</w:t>
      </w:r>
      <w:r>
        <w:rPr>
          <w:rFonts w:ascii="Times New Roman" w:hAnsi="Times New Roman" w:cs="Times New Roman"/>
          <w:sz w:val="24"/>
          <w:szCs w:val="24"/>
          <w:highlight w:val="yellow"/>
        </w:rPr>
        <w:t xml:space="preserve">Рис. Х5, </w:t>
      </w:r>
      <w:r>
        <w:rPr>
          <w:rFonts w:ascii="Times New Roman" w:hAnsi="Times New Roman" w:cs="Times New Roman"/>
          <w:sz w:val="24"/>
          <w:szCs w:val="24"/>
          <w:lang w:val="en-US"/>
        </w:rPr>
        <w:t>e</w:t>
      </w:r>
      <w:r>
        <w:rPr>
          <w:rFonts w:ascii="Times New Roman" w:hAnsi="Times New Roman" w:cs="Times New Roman"/>
          <w:sz w:val="24"/>
          <w:szCs w:val="24"/>
        </w:rPr>
        <w:t xml:space="preserve">, </w:t>
      </w:r>
      <w:r>
        <w:rPr>
          <w:rFonts w:ascii="Times New Roman" w:hAnsi="Times New Roman" w:cs="Times New Roman"/>
          <w:sz w:val="24"/>
          <w:szCs w:val="24"/>
          <w:lang w:val="en-US"/>
        </w:rPr>
        <w:t>f</w:t>
      </w:r>
      <w:r>
        <w:rPr>
          <w:rFonts w:ascii="Times New Roman" w:hAnsi="Times New Roman" w:cs="Times New Roman"/>
          <w:sz w:val="24"/>
          <w:szCs w:val="24"/>
        </w:rPr>
        <w:t>). Подобное строение озовых гряд в целом – типичное для Кольского региона (</w:t>
      </w:r>
      <w:r>
        <w:rPr>
          <w:rFonts w:ascii="Times New Roman" w:hAnsi="Times New Roman" w:cs="Times New Roman"/>
          <w:sz w:val="24"/>
          <w:szCs w:val="24"/>
          <w:highlight w:val="yellow"/>
        </w:rPr>
        <w:t>Евзеров, 2014</w:t>
      </w:r>
      <w:r>
        <w:rPr>
          <w:rFonts w:ascii="Times New Roman" w:hAnsi="Times New Roman" w:cs="Times New Roman"/>
          <w:sz w:val="24"/>
          <w:szCs w:val="24"/>
        </w:rPr>
        <w:t>) и систем радиальных озов в целом (</w:t>
      </w:r>
      <w:r>
        <w:rPr>
          <w:rFonts w:ascii="Times New Roman" w:hAnsi="Times New Roman" w:cs="Times New Roman"/>
          <w:sz w:val="24"/>
          <w:szCs w:val="24"/>
          <w:highlight w:val="yellow"/>
        </w:rPr>
        <w:t xml:space="preserve">Каплянская, Тарноградский, 1993; </w:t>
      </w:r>
      <w:r>
        <w:rPr>
          <w:rFonts w:ascii="Times New Roman" w:hAnsi="Times New Roman" w:cs="Times New Roman"/>
          <w:sz w:val="24"/>
          <w:szCs w:val="24"/>
          <w:highlight w:val="yellow"/>
          <w:lang w:val="en-US"/>
        </w:rPr>
        <w:t>Benn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Evans</w:t>
      </w:r>
      <w:r>
        <w:rPr>
          <w:rFonts w:ascii="Times New Roman" w:hAnsi="Times New Roman" w:cs="Times New Roman"/>
          <w:sz w:val="24"/>
          <w:szCs w:val="24"/>
          <w:highlight w:val="yellow"/>
        </w:rPr>
        <w:t>, 1998</w:t>
      </w:r>
      <w:r>
        <w:rPr>
          <w:rFonts w:ascii="Times New Roman" w:hAnsi="Times New Roman" w:cs="Times New Roman"/>
          <w:sz w:val="24"/>
          <w:szCs w:val="24"/>
        </w:rPr>
        <w:t>). Однако признаков того, что озы в Колвицкой ложбине могли быть маргинальными и ледораздельными (</w:t>
      </w:r>
      <w:r>
        <w:rPr>
          <w:rFonts w:ascii="Times New Roman" w:hAnsi="Times New Roman" w:cs="Times New Roman"/>
          <w:sz w:val="24"/>
          <w:szCs w:val="24"/>
          <w:highlight w:val="yellow"/>
        </w:rPr>
        <w:t xml:space="preserve">Стрелков и др., 1976; Евзеров, Николаева, 2000; </w:t>
      </w:r>
      <w:r>
        <w:rPr>
          <w:rFonts w:ascii="Times New Roman" w:hAnsi="Times New Roman" w:cs="Times New Roman"/>
          <w:sz w:val="24"/>
          <w:szCs w:val="24"/>
          <w:highlight w:val="yellow"/>
          <w:lang w:val="en-US"/>
        </w:rPr>
        <w:t>Kolka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2008</w:t>
      </w:r>
      <w:r>
        <w:rPr>
          <w:rFonts w:ascii="Times New Roman" w:hAnsi="Times New Roman" w:cs="Times New Roman"/>
          <w:sz w:val="24"/>
          <w:szCs w:val="24"/>
        </w:rPr>
        <w:t xml:space="preserve">), не установлено. </w:t>
      </w:r>
    </w:p>
    <w:p w14:paraId="2483F4C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Со временем похолодания позднего дриаса традиционно связывают крупную подвижку ледникового края в восточном и юго-восточном направлении, до района пос. Умба включительно (</w:t>
      </w:r>
      <w:r>
        <w:rPr>
          <w:rFonts w:ascii="Times New Roman" w:hAnsi="Times New Roman" w:cs="Times New Roman"/>
          <w:sz w:val="24"/>
          <w:szCs w:val="24"/>
          <w:highlight w:val="yellow"/>
          <w:lang w:val="en-US"/>
        </w:rPr>
        <w:t>Ekman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Ilyin</w:t>
      </w:r>
      <w:r>
        <w:rPr>
          <w:rFonts w:ascii="Times New Roman" w:hAnsi="Times New Roman" w:cs="Times New Roman"/>
          <w:sz w:val="24"/>
          <w:szCs w:val="24"/>
          <w:highlight w:val="yellow"/>
        </w:rPr>
        <w:t xml:space="preserve">, 1991; Евзеров, Николаева, 2000; </w:t>
      </w:r>
      <w:r>
        <w:rPr>
          <w:rFonts w:ascii="Times New Roman" w:hAnsi="Times New Roman" w:cs="Times New Roman"/>
          <w:sz w:val="24"/>
          <w:szCs w:val="24"/>
          <w:highlight w:val="yellow"/>
          <w:lang w:val="en-US"/>
        </w:rPr>
        <w:t>Boyes</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2022</w:t>
      </w:r>
      <w:r>
        <w:rPr>
          <w:rFonts w:ascii="Times New Roman" w:hAnsi="Times New Roman" w:cs="Times New Roman"/>
          <w:sz w:val="24"/>
          <w:szCs w:val="24"/>
        </w:rPr>
        <w:t>). Однако, в таком случае мы должны были бы наблюдать многочисленные деформации отложений приледникового и приледниково-морского бассейна, связанные с активным продвижением ледника. Но к настоящему времени на юго-западе Кольского полуострова таких деформаций не обнаружено. К тому же, при такой интерпретации и с учетом имеющихся на сегодня данных по осадконакоплению в озерных котловинах (</w:t>
      </w:r>
      <w:r>
        <w:rPr>
          <w:rFonts w:ascii="Times New Roman" w:hAnsi="Times New Roman" w:cs="Times New Roman"/>
          <w:sz w:val="24"/>
          <w:szCs w:val="24"/>
          <w:highlight w:val="yellow"/>
        </w:rPr>
        <w:t xml:space="preserve">Колька и др., 2013; Толстоброва и др., 2016;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2016; </w:t>
      </w:r>
      <w:r>
        <w:rPr>
          <w:rFonts w:ascii="Times New Roman" w:hAnsi="Times New Roman" w:cs="Times New Roman"/>
          <w:sz w:val="24"/>
          <w:szCs w:val="24"/>
          <w:highlight w:val="yellow"/>
          <w:lang w:val="en-US"/>
        </w:rPr>
        <w:t>Lenz</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xml:space="preserve">, 2020), </w:t>
      </w:r>
      <w:r>
        <w:rPr>
          <w:rFonts w:ascii="Times New Roman" w:hAnsi="Times New Roman" w:cs="Times New Roman"/>
          <w:sz w:val="24"/>
          <w:szCs w:val="24"/>
        </w:rPr>
        <w:t>как скорость продвижения ледника на восток, так и последующая дегляциация территории должна была происходить крайне высокими темпами, превышающими известные значения для скандинавского ледникового покрова (</w:t>
      </w:r>
      <w:r>
        <w:rPr>
          <w:rFonts w:ascii="Times New Roman" w:hAnsi="Times New Roman" w:cs="Times New Roman"/>
          <w:sz w:val="24"/>
          <w:szCs w:val="24"/>
          <w:highlight w:val="yellow"/>
          <w:lang w:val="en-US"/>
        </w:rPr>
        <w:t>Lasberg</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Kalm</w:t>
      </w:r>
      <w:r>
        <w:rPr>
          <w:rFonts w:ascii="Times New Roman" w:hAnsi="Times New Roman" w:cs="Times New Roman"/>
          <w:sz w:val="24"/>
          <w:szCs w:val="24"/>
          <w:highlight w:val="yellow"/>
        </w:rPr>
        <w:t xml:space="preserve">, 2013; </w:t>
      </w:r>
      <w:r>
        <w:rPr>
          <w:rFonts w:ascii="Times New Roman" w:hAnsi="Times New Roman" w:cs="Times New Roman"/>
          <w:sz w:val="24"/>
          <w:szCs w:val="24"/>
          <w:highlight w:val="yellow"/>
          <w:lang w:val="en-US"/>
        </w:rPr>
        <w:t>Stroeven</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2016</w:t>
      </w:r>
      <w:r>
        <w:rPr>
          <w:rFonts w:ascii="Times New Roman" w:hAnsi="Times New Roman" w:cs="Times New Roman"/>
          <w:sz w:val="24"/>
          <w:szCs w:val="24"/>
        </w:rPr>
        <w:t>). Можно предположить, что во время похолодания позднего дриаса около 12.7–12.5 тыс. л.н. вытаивание блоков мертвого льда в Колвицкой ложбине приостановилось, а активный ледниковый покров смог заполнить лишь современную депрессию Кандалакшского залива и Колвицкой губы, не проникая в саму ложбину (</w:t>
      </w:r>
      <w:r>
        <w:rPr>
          <w:rFonts w:ascii="Times New Roman" w:hAnsi="Times New Roman" w:cs="Times New Roman"/>
          <w:sz w:val="24"/>
          <w:szCs w:val="24"/>
          <w:highlight w:val="yellow"/>
          <w:lang w:val="en-US"/>
        </w:rPr>
        <w:t>Korsakova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w:t>
      </w:r>
      <w:r>
        <w:rPr>
          <w:rFonts w:ascii="Times New Roman" w:hAnsi="Times New Roman" w:cs="Times New Roman"/>
          <w:sz w:val="24"/>
          <w:szCs w:val="24"/>
        </w:rPr>
        <w:t xml:space="preserve">). </w:t>
      </w:r>
    </w:p>
    <w:p w14:paraId="3A612747">
      <w:pPr>
        <w:spacing w:after="0" w:line="360" w:lineRule="auto"/>
        <w:ind w:firstLine="709"/>
        <w:jc w:val="both"/>
        <w:rPr>
          <w:rFonts w:ascii="Times New Roman" w:hAnsi="Times New Roman" w:cs="Times New Roman"/>
          <w:sz w:val="24"/>
          <w:szCs w:val="24"/>
        </w:rPr>
      </w:pPr>
      <w:r>
        <w:drawing>
          <wp:anchor distT="0" distB="0" distL="114300" distR="114300" simplePos="0" relativeHeight="251662336" behindDoc="1" locked="0" layoutInCell="1" allowOverlap="1">
            <wp:simplePos x="0" y="0"/>
            <wp:positionH relativeFrom="column">
              <wp:posOffset>164465</wp:posOffset>
            </wp:positionH>
            <wp:positionV relativeFrom="paragraph">
              <wp:posOffset>-25400</wp:posOffset>
            </wp:positionV>
            <wp:extent cx="5381625" cy="5676900"/>
            <wp:effectExtent l="0" t="0" r="13335" b="7620"/>
            <wp:wrapTight wrapText="bothSides">
              <wp:wrapPolygon>
                <wp:start x="-38" y="0"/>
                <wp:lineTo x="-38" y="21564"/>
                <wp:lineTo x="21600" y="21564"/>
                <wp:lineTo x="21600" y="0"/>
                <wp:lineTo x="-38" y="0"/>
              </wp:wrapPolygon>
            </wp:wrapTight>
            <wp:docPr id="9" name="Изображение 10"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0" descr="Рис"/>
                    <pic:cNvPicPr>
                      <a:picLocks noChangeAspect="1"/>
                    </pic:cNvPicPr>
                  </pic:nvPicPr>
                  <pic:blipFill>
                    <a:blip r:embed="rId17"/>
                    <a:stretch>
                      <a:fillRect/>
                    </a:stretch>
                  </pic:blipFill>
                  <pic:spPr>
                    <a:xfrm>
                      <a:off x="0" y="0"/>
                      <a:ext cx="5381625" cy="5676900"/>
                    </a:xfrm>
                    <a:prstGeom prst="rect">
                      <a:avLst/>
                    </a:prstGeom>
                    <a:noFill/>
                    <a:ln>
                      <a:noFill/>
                    </a:ln>
                  </pic:spPr>
                </pic:pic>
              </a:graphicData>
            </a:graphic>
          </wp:anchor>
        </w:drawing>
      </w:r>
    </w:p>
    <w:p w14:paraId="1CBA9338">
      <w:pPr>
        <w:spacing w:after="0" w:line="360" w:lineRule="auto"/>
        <w:ind w:firstLine="709"/>
        <w:jc w:val="both"/>
        <w:rPr>
          <w:rFonts w:ascii="Times New Roman" w:hAnsi="Times New Roman" w:cs="Times New Roman"/>
          <w:sz w:val="24"/>
          <w:szCs w:val="24"/>
        </w:rPr>
      </w:pPr>
    </w:p>
    <w:p w14:paraId="2D6673D1">
      <w:pPr>
        <w:spacing w:after="0" w:line="360" w:lineRule="auto"/>
        <w:ind w:firstLine="709"/>
        <w:jc w:val="both"/>
        <w:rPr>
          <w:rFonts w:ascii="Times New Roman" w:hAnsi="Times New Roman" w:cs="Times New Roman"/>
          <w:sz w:val="24"/>
          <w:szCs w:val="24"/>
        </w:rPr>
      </w:pPr>
    </w:p>
    <w:p w14:paraId="31E60FA0">
      <w:pPr>
        <w:spacing w:after="0" w:line="360" w:lineRule="auto"/>
        <w:ind w:firstLine="709"/>
        <w:jc w:val="both"/>
        <w:rPr>
          <w:rFonts w:ascii="Times New Roman" w:hAnsi="Times New Roman" w:cs="Times New Roman"/>
          <w:sz w:val="24"/>
          <w:szCs w:val="24"/>
        </w:rPr>
      </w:pPr>
    </w:p>
    <w:p w14:paraId="712CCC74">
      <w:pPr>
        <w:spacing w:after="0" w:line="360" w:lineRule="auto"/>
        <w:ind w:firstLine="709"/>
        <w:jc w:val="both"/>
        <w:rPr>
          <w:rFonts w:ascii="Times New Roman" w:hAnsi="Times New Roman" w:cs="Times New Roman"/>
          <w:sz w:val="24"/>
          <w:szCs w:val="24"/>
        </w:rPr>
      </w:pPr>
    </w:p>
    <w:p w14:paraId="1CC35F3E">
      <w:pPr>
        <w:spacing w:after="0" w:line="360" w:lineRule="auto"/>
        <w:ind w:firstLine="709"/>
        <w:jc w:val="both"/>
        <w:rPr>
          <w:rFonts w:ascii="Times New Roman" w:hAnsi="Times New Roman" w:cs="Times New Roman"/>
          <w:sz w:val="24"/>
          <w:szCs w:val="24"/>
        </w:rPr>
      </w:pPr>
    </w:p>
    <w:p w14:paraId="105AB1EC">
      <w:pPr>
        <w:spacing w:after="0" w:line="360" w:lineRule="auto"/>
        <w:ind w:firstLine="709"/>
        <w:jc w:val="both"/>
        <w:rPr>
          <w:rFonts w:ascii="Times New Roman" w:hAnsi="Times New Roman" w:cs="Times New Roman"/>
          <w:sz w:val="24"/>
          <w:szCs w:val="24"/>
        </w:rPr>
      </w:pPr>
    </w:p>
    <w:p w14:paraId="12A973C8">
      <w:pPr>
        <w:spacing w:after="0" w:line="360" w:lineRule="auto"/>
        <w:ind w:firstLine="709"/>
        <w:jc w:val="both"/>
        <w:rPr>
          <w:rFonts w:ascii="Times New Roman" w:hAnsi="Times New Roman" w:cs="Times New Roman"/>
          <w:sz w:val="24"/>
          <w:szCs w:val="24"/>
        </w:rPr>
      </w:pPr>
    </w:p>
    <w:p w14:paraId="6C293806">
      <w:pPr>
        <w:spacing w:after="0" w:line="360" w:lineRule="auto"/>
        <w:ind w:firstLine="709"/>
        <w:jc w:val="both"/>
        <w:rPr>
          <w:rFonts w:ascii="Times New Roman" w:hAnsi="Times New Roman" w:cs="Times New Roman"/>
          <w:sz w:val="24"/>
          <w:szCs w:val="24"/>
        </w:rPr>
      </w:pPr>
    </w:p>
    <w:p w14:paraId="26A1E9B0">
      <w:pPr>
        <w:spacing w:after="0" w:line="360" w:lineRule="auto"/>
        <w:ind w:firstLine="709"/>
        <w:jc w:val="both"/>
        <w:rPr>
          <w:rFonts w:ascii="Times New Roman" w:hAnsi="Times New Roman" w:cs="Times New Roman"/>
          <w:sz w:val="24"/>
          <w:szCs w:val="24"/>
        </w:rPr>
      </w:pPr>
    </w:p>
    <w:p w14:paraId="7A8C348D">
      <w:pPr>
        <w:spacing w:after="0" w:line="360" w:lineRule="auto"/>
        <w:ind w:firstLine="709"/>
        <w:jc w:val="both"/>
        <w:rPr>
          <w:rFonts w:ascii="Times New Roman" w:hAnsi="Times New Roman" w:cs="Times New Roman"/>
          <w:sz w:val="24"/>
          <w:szCs w:val="24"/>
        </w:rPr>
      </w:pPr>
    </w:p>
    <w:p w14:paraId="4AFF983E">
      <w:pPr>
        <w:spacing w:after="0" w:line="360" w:lineRule="auto"/>
        <w:ind w:firstLine="709"/>
        <w:jc w:val="both"/>
        <w:rPr>
          <w:rFonts w:ascii="Times New Roman" w:hAnsi="Times New Roman" w:cs="Times New Roman"/>
          <w:sz w:val="24"/>
          <w:szCs w:val="24"/>
        </w:rPr>
      </w:pPr>
    </w:p>
    <w:p w14:paraId="394C97D1">
      <w:pPr>
        <w:spacing w:after="0" w:line="360" w:lineRule="auto"/>
        <w:ind w:firstLine="709"/>
        <w:jc w:val="both"/>
        <w:rPr>
          <w:rFonts w:ascii="Times New Roman" w:hAnsi="Times New Roman" w:cs="Times New Roman"/>
          <w:sz w:val="24"/>
          <w:szCs w:val="24"/>
        </w:rPr>
      </w:pPr>
    </w:p>
    <w:p w14:paraId="760AADBA">
      <w:pPr>
        <w:spacing w:after="0" w:line="360" w:lineRule="auto"/>
        <w:ind w:firstLine="709"/>
        <w:jc w:val="both"/>
        <w:rPr>
          <w:rFonts w:ascii="Times New Roman" w:hAnsi="Times New Roman" w:cs="Times New Roman"/>
          <w:sz w:val="24"/>
          <w:szCs w:val="24"/>
        </w:rPr>
      </w:pPr>
    </w:p>
    <w:p w14:paraId="36251E4E">
      <w:pPr>
        <w:spacing w:after="0" w:line="360" w:lineRule="auto"/>
        <w:ind w:firstLine="709"/>
        <w:jc w:val="both"/>
        <w:rPr>
          <w:rFonts w:ascii="Times New Roman" w:hAnsi="Times New Roman" w:cs="Times New Roman"/>
          <w:sz w:val="24"/>
          <w:szCs w:val="24"/>
        </w:rPr>
      </w:pPr>
    </w:p>
    <w:p w14:paraId="787C0A43">
      <w:pPr>
        <w:spacing w:after="0" w:line="360" w:lineRule="auto"/>
        <w:ind w:firstLine="709"/>
        <w:jc w:val="both"/>
        <w:rPr>
          <w:rFonts w:ascii="Times New Roman" w:hAnsi="Times New Roman" w:cs="Times New Roman"/>
          <w:sz w:val="24"/>
          <w:szCs w:val="24"/>
        </w:rPr>
      </w:pPr>
    </w:p>
    <w:p w14:paraId="00087F65">
      <w:pPr>
        <w:spacing w:after="0" w:line="360" w:lineRule="auto"/>
        <w:ind w:firstLine="709"/>
        <w:jc w:val="both"/>
        <w:rPr>
          <w:rFonts w:ascii="Times New Roman" w:hAnsi="Times New Roman" w:cs="Times New Roman"/>
          <w:sz w:val="24"/>
          <w:szCs w:val="24"/>
        </w:rPr>
      </w:pPr>
    </w:p>
    <w:p w14:paraId="44AB56EA">
      <w:pPr>
        <w:spacing w:after="0" w:line="360" w:lineRule="auto"/>
        <w:ind w:firstLine="709"/>
        <w:jc w:val="both"/>
        <w:rPr>
          <w:rFonts w:ascii="Times New Roman" w:hAnsi="Times New Roman" w:cs="Times New Roman"/>
          <w:sz w:val="24"/>
          <w:szCs w:val="24"/>
        </w:rPr>
      </w:pPr>
    </w:p>
    <w:p w14:paraId="13568B6D">
      <w:pPr>
        <w:spacing w:after="0" w:line="360" w:lineRule="auto"/>
        <w:ind w:firstLine="709"/>
        <w:jc w:val="both"/>
        <w:rPr>
          <w:rFonts w:ascii="Times New Roman" w:hAnsi="Times New Roman" w:cs="Times New Roman"/>
          <w:sz w:val="24"/>
          <w:szCs w:val="24"/>
        </w:rPr>
      </w:pPr>
    </w:p>
    <w:p w14:paraId="61BE2853">
      <w:pPr>
        <w:spacing w:after="0" w:line="360" w:lineRule="auto"/>
        <w:ind w:firstLine="709"/>
        <w:jc w:val="both"/>
        <w:rPr>
          <w:rFonts w:ascii="Times New Roman" w:hAnsi="Times New Roman" w:cs="Times New Roman"/>
          <w:sz w:val="24"/>
          <w:szCs w:val="24"/>
        </w:rPr>
      </w:pPr>
    </w:p>
    <w:p w14:paraId="0788F3A7">
      <w:pPr>
        <w:spacing w:after="0" w:line="360" w:lineRule="auto"/>
        <w:ind w:firstLine="709"/>
        <w:jc w:val="both"/>
        <w:rPr>
          <w:rFonts w:ascii="Times New Roman" w:hAnsi="Times New Roman" w:cs="Times New Roman"/>
          <w:sz w:val="24"/>
          <w:szCs w:val="24"/>
        </w:rPr>
      </w:pPr>
    </w:p>
    <w:p w14:paraId="01A59E0D">
      <w:pPr>
        <w:spacing w:after="0" w:line="360" w:lineRule="auto"/>
        <w:ind w:firstLine="709"/>
        <w:jc w:val="both"/>
        <w:rPr>
          <w:rFonts w:ascii="Times New Roman" w:hAnsi="Times New Roman" w:cs="Times New Roman"/>
          <w:sz w:val="24"/>
          <w:szCs w:val="24"/>
        </w:rPr>
      </w:pPr>
    </w:p>
    <w:p w14:paraId="63B762C3">
      <w:pPr>
        <w:spacing w:after="0" w:line="360" w:lineRule="auto"/>
        <w:ind w:firstLine="709"/>
        <w:jc w:val="both"/>
        <w:rPr>
          <w:rFonts w:ascii="Times New Roman" w:hAnsi="Times New Roman" w:cs="Times New Roman"/>
          <w:sz w:val="24"/>
          <w:szCs w:val="24"/>
        </w:rPr>
      </w:pPr>
      <w:commentRangeStart w:id="17"/>
      <w:r>
        <w:rPr>
          <w:rFonts w:ascii="Times New Roman" w:hAnsi="Times New Roman" w:cs="Times New Roman"/>
          <w:sz w:val="24"/>
          <w:szCs w:val="24"/>
          <w:highlight w:val="yellow"/>
        </w:rPr>
        <w:t>Рис. Х9</w:t>
      </w:r>
      <w:commentRangeEnd w:id="17"/>
      <w:r>
        <w:rPr>
          <w:rStyle w:val="5"/>
          <w:rFonts w:ascii="Times New Roman" w:hAnsi="Times New Roman" w:cs="Times New Roman"/>
          <w:sz w:val="24"/>
          <w:szCs w:val="24"/>
          <w:highlight w:val="yellow"/>
        </w:rPr>
        <w:commentReference w:id="17"/>
      </w:r>
      <w:r>
        <w:rPr>
          <w:rFonts w:ascii="Times New Roman" w:hAnsi="Times New Roman" w:cs="Times New Roman"/>
          <w:sz w:val="24"/>
          <w:szCs w:val="24"/>
          <w:highlight w:val="yellow"/>
        </w:rPr>
        <w:t>. Этапы формирования ледникового и послеледникового рельефа Колвицкой ложбины и прилегающих территорий: а) этап активизации ледника среднего дриаса (ок. 14.1–13.9 тыс. л.н.); б) этап дегляциации (ок. 13.5–13.0 тыс. л.н.); в) этап Колвицкого залива (ок. 12.5–12.0 тыс. л.н.); г) этап Колвицкого пролива; д) этап формирования Колвицкой губы, Колвицкого озера и реки Колвица. 1 – будет дополнено тем, что нам нужно (согласно замечаниям).</w:t>
      </w:r>
      <w:r>
        <w:rPr>
          <w:rFonts w:ascii="Times New Roman" w:hAnsi="Times New Roman" w:cs="Times New Roman"/>
          <w:sz w:val="24"/>
          <w:szCs w:val="24"/>
        </w:rPr>
        <w:t xml:space="preserve"> </w:t>
      </w:r>
    </w:p>
    <w:p w14:paraId="5D06CCC6">
      <w:pPr>
        <w:spacing w:after="0" w:line="360" w:lineRule="auto"/>
        <w:ind w:firstLine="709"/>
        <w:jc w:val="both"/>
        <w:rPr>
          <w:rFonts w:ascii="Times New Roman" w:hAnsi="Times New Roman" w:cs="Times New Roman"/>
          <w:sz w:val="24"/>
          <w:szCs w:val="24"/>
        </w:rPr>
      </w:pPr>
    </w:p>
    <w:p w14:paraId="1BC7053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Продолжение дегляциации территории после 12.5 тыс. л.н. привело к проникновению приледникового водоёма со стороны современной котловины Колвицкого озера на территорию ложбины (</w:t>
      </w:r>
      <w:r>
        <w:rPr>
          <w:rFonts w:ascii="Times New Roman" w:hAnsi="Times New Roman" w:cs="Times New Roman"/>
          <w:sz w:val="24"/>
          <w:szCs w:val="24"/>
          <w:highlight w:val="yellow"/>
        </w:rPr>
        <w:t>Рис. Х9, в</w:t>
      </w:r>
      <w:r>
        <w:rPr>
          <w:rFonts w:ascii="Times New Roman" w:hAnsi="Times New Roman" w:cs="Times New Roman"/>
          <w:sz w:val="24"/>
          <w:szCs w:val="24"/>
        </w:rPr>
        <w:t xml:space="preserve">). </w:t>
      </w:r>
      <w:commentRangeStart w:id="18"/>
      <w:r>
        <w:rPr>
          <w:rFonts w:ascii="Times New Roman" w:hAnsi="Times New Roman" w:cs="Times New Roman"/>
          <w:sz w:val="24"/>
          <w:szCs w:val="24"/>
        </w:rPr>
        <w:t xml:space="preserve">Этот залив более обширного водоёма находился преимущественно в ледяных. </w:t>
      </w:r>
      <w:commentRangeEnd w:id="18"/>
      <w:r>
        <w:rPr>
          <w:rStyle w:val="5"/>
          <w:rFonts w:ascii="Times New Roman" w:hAnsi="Times New Roman" w:cs="Times New Roman"/>
          <w:sz w:val="24"/>
          <w:szCs w:val="24"/>
        </w:rPr>
        <w:commentReference w:id="18"/>
      </w:r>
      <w:r>
        <w:rPr>
          <w:rFonts w:ascii="Times New Roman" w:hAnsi="Times New Roman" w:cs="Times New Roman"/>
          <w:sz w:val="24"/>
          <w:szCs w:val="24"/>
        </w:rPr>
        <w:t>ОСЛ-даты 34±4 и 23±2 (</w:t>
      </w:r>
      <w:r>
        <w:rPr>
          <w:rFonts w:ascii="Times New Roman" w:hAnsi="Times New Roman" w:cs="Times New Roman"/>
          <w:sz w:val="24"/>
          <w:szCs w:val="24"/>
          <w:lang w:val="en-US"/>
        </w:rPr>
        <w:t>Table</w:t>
      </w:r>
      <w:r>
        <w:rPr>
          <w:rFonts w:ascii="Times New Roman" w:hAnsi="Times New Roman" w:cs="Times New Roman"/>
          <w:sz w:val="24"/>
          <w:szCs w:val="24"/>
        </w:rPr>
        <w:t xml:space="preserve"> 1), полученные по образцам из отложений этого водоёма в расчистке В карьера (</w:t>
      </w:r>
      <w:r>
        <w:rPr>
          <w:rFonts w:ascii="Times New Roman" w:hAnsi="Times New Roman" w:cs="Times New Roman"/>
          <w:sz w:val="24"/>
          <w:szCs w:val="24"/>
          <w:highlight w:val="yellow"/>
        </w:rPr>
        <w:t xml:space="preserve">Рис. Х5, </w:t>
      </w:r>
      <w:r>
        <w:rPr>
          <w:rFonts w:ascii="Times New Roman" w:hAnsi="Times New Roman" w:cs="Times New Roman"/>
          <w:sz w:val="24"/>
          <w:szCs w:val="24"/>
          <w:highlight w:val="yellow"/>
          <w:lang w:val="en-US"/>
        </w:rPr>
        <w:t>c</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d</w:t>
      </w:r>
      <w:r>
        <w:rPr>
          <w:rFonts w:ascii="Times New Roman" w:hAnsi="Times New Roman" w:cs="Times New Roman"/>
          <w:sz w:val="24"/>
          <w:szCs w:val="24"/>
        </w:rPr>
        <w:t>), по-видимому, древнее времени его формирования, что может объясняться недозасвеченностью материала в результате большой мутности воды. Это подтверждается и результатами диатомового анализа (см. ниже). Мутность воды также обеспечивалась впадением в приледниковый водоём талых вод по каналам стока со стороны прилегающих массивов низких гор и формированием по бортам долины флювиогляциальных дельт (</w:t>
      </w:r>
      <w:r>
        <w:rPr>
          <w:rFonts w:ascii="Times New Roman" w:hAnsi="Times New Roman" w:cs="Times New Roman"/>
          <w:sz w:val="24"/>
          <w:szCs w:val="24"/>
          <w:highlight w:val="yellow"/>
        </w:rPr>
        <w:t>Рис. Х4, а1–а3</w:t>
      </w:r>
      <w:r>
        <w:rPr>
          <w:rFonts w:ascii="Times New Roman" w:hAnsi="Times New Roman" w:cs="Times New Roman"/>
          <w:sz w:val="24"/>
          <w:szCs w:val="24"/>
        </w:rPr>
        <w:t>).</w:t>
      </w:r>
    </w:p>
    <w:p w14:paraId="2D569D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Существование приледникового водоёма, а затем и морского бассейна как в самом Колвицком озере, так и в ложбинах, соединявших его с Белым морем, подтверждается и данными бурения субмеридиональной ложбины к югу от озера. Алевритистая глина с редкими пролоями алеврита, непосредственно залегающая на диамиктоне, и перекрывающая её слоистая толща тонкозернистых песков и алевритов может соответствовать начальной, более глубоководной, и более поздней и мене глубокой фазам существования приледникового водоёма, в финальной стадии, возможно, бывшего ледниково-морским (</w:t>
      </w:r>
      <w:r>
        <w:rPr>
          <w:rFonts w:ascii="Times New Roman" w:hAnsi="Times New Roman" w:cs="Times New Roman"/>
          <w:sz w:val="24"/>
          <w:szCs w:val="24"/>
          <w:highlight w:val="yellow"/>
        </w:rPr>
        <w:t>Рис. Х9 б, в</w:t>
      </w:r>
      <w:r>
        <w:rPr>
          <w:rFonts w:ascii="Times New Roman" w:hAnsi="Times New Roman" w:cs="Times New Roman"/>
          <w:sz w:val="24"/>
          <w:szCs w:val="24"/>
        </w:rPr>
        <w:t xml:space="preserve">). Песчаная толща, с резким контактом перекрывающая осадки приледникового водоёма, начало накопления которой датируется </w:t>
      </w:r>
      <w:r>
        <w:rPr>
          <w:rFonts w:ascii="Times New Roman" w:hAnsi="Times New Roman" w:cs="Times New Roman"/>
          <w:sz w:val="24"/>
          <w:szCs w:val="24"/>
          <w:lang w:val="en-US"/>
        </w:rPr>
        <w:t>~</w:t>
      </w:r>
      <w:r>
        <w:rPr>
          <w:rFonts w:ascii="Times New Roman" w:hAnsi="Times New Roman" w:cs="Times New Roman"/>
          <w:sz w:val="24"/>
          <w:szCs w:val="24"/>
        </w:rPr>
        <w:t xml:space="preserve"> 12 тыс. лет назад, могла формироваться уже в морских условиях позднеледниковой трансгрессии (</w:t>
      </w:r>
      <w:r>
        <w:rPr>
          <w:rFonts w:ascii="Times New Roman" w:hAnsi="Times New Roman" w:cs="Times New Roman"/>
          <w:sz w:val="24"/>
          <w:szCs w:val="24"/>
          <w:highlight w:val="yellow"/>
        </w:rPr>
        <w:t>Рис. Х9 г</w:t>
      </w:r>
      <w:r>
        <w:rPr>
          <w:rFonts w:ascii="Times New Roman" w:hAnsi="Times New Roman" w:cs="Times New Roman"/>
          <w:sz w:val="24"/>
          <w:szCs w:val="24"/>
        </w:rPr>
        <w:t>).</w:t>
      </w:r>
    </w:p>
    <w:p w14:paraId="46FCB008">
      <w:pPr>
        <w:spacing w:after="0" w:line="360" w:lineRule="auto"/>
        <w:ind w:firstLine="709"/>
        <w:jc w:val="both"/>
      </w:pPr>
      <w:r>
        <w:rPr>
          <w:rFonts w:ascii="Times New Roman" w:hAnsi="Times New Roman" w:cs="Times New Roman"/>
          <w:sz w:val="24"/>
          <w:szCs w:val="24"/>
        </w:rPr>
        <w:t>В Колвицкой ложбине присутствие непосредственно морского бассейна датируется уже 15.5 тыс. л.н. (согласно полученной ОСЛ-дате из алеврито-песчаной пачки расчистки А карьера (</w:t>
      </w:r>
      <w:r>
        <w:rPr>
          <w:rFonts w:ascii="Times New Roman" w:hAnsi="Times New Roman" w:cs="Times New Roman"/>
          <w:sz w:val="24"/>
          <w:szCs w:val="24"/>
          <w:highlight w:val="yellow"/>
        </w:rPr>
        <w:t>5 на рис. 1</w:t>
      </w:r>
      <w:r>
        <w:rPr>
          <w:rFonts w:ascii="Times New Roman" w:hAnsi="Times New Roman" w:cs="Times New Roman"/>
          <w:sz w:val="24"/>
          <w:szCs w:val="24"/>
        </w:rPr>
        <w:t>)). Эта возрастная оценка может быть также удревнена в силу большой мутности воды. Видовой состав диатомей в этом слое характеризуется как совокупность пресноводно-солоноватоводных и солоноватоводных видов с широким диапазоном галотолерантности (</w:t>
      </w:r>
      <w:r>
        <w:rPr>
          <w:rFonts w:ascii="Times New Roman" w:hAnsi="Times New Roman" w:cs="Times New Roman"/>
          <w:sz w:val="24"/>
          <w:szCs w:val="24"/>
          <w:highlight w:val="yellow"/>
        </w:rPr>
        <w:t>Глезер и др., 1988, 1992; Уланова, 2003; Стрельникова, 2006; Polyakova, 2003</w:t>
      </w:r>
      <w:r>
        <w:rPr>
          <w:rFonts w:ascii="Times New Roman" w:hAnsi="Times New Roman" w:cs="Times New Roman"/>
          <w:sz w:val="24"/>
          <w:szCs w:val="24"/>
        </w:rPr>
        <w:t xml:space="preserve">). Можно предполагать соленость около 5 ‰ в нижней части слоя и ее постепенное увеличение вверх по разрезу. Все отмеченные морские планктонные виды характеризуются как холодноводные: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встречается при температурах 0-13.8 °С (</w:t>
      </w:r>
      <w:r>
        <w:rPr>
          <w:rFonts w:ascii="Times New Roman" w:hAnsi="Times New Roman" w:cs="Times New Roman"/>
          <w:sz w:val="24"/>
          <w:szCs w:val="24"/>
          <w:highlight w:val="yellow"/>
        </w:rPr>
        <w:t>Стрельникова, 2006</w:t>
      </w:r>
      <w:r>
        <w:rPr>
          <w:rFonts w:ascii="Times New Roman" w:hAnsi="Times New Roman" w:cs="Times New Roman"/>
          <w:sz w:val="24"/>
          <w:szCs w:val="24"/>
        </w:rPr>
        <w:t>) и характерен для весеннего планктона Белого моря (</w:t>
      </w:r>
      <w:r>
        <w:rPr>
          <w:rFonts w:ascii="Times New Roman" w:hAnsi="Times New Roman" w:cs="Times New Roman"/>
          <w:sz w:val="24"/>
          <w:szCs w:val="24"/>
          <w:highlight w:val="yellow"/>
        </w:rPr>
        <w:t>Ильяш и др., 2003</w:t>
      </w:r>
      <w:r>
        <w:rPr>
          <w:rFonts w:ascii="Times New Roman" w:hAnsi="Times New Roman" w:cs="Times New Roman"/>
          <w:sz w:val="24"/>
          <w:szCs w:val="24"/>
        </w:rPr>
        <w:t xml:space="preserve">). </w:t>
      </w:r>
      <w:r>
        <w:rPr>
          <w:rFonts w:ascii="Times New Roman" w:hAnsi="Times New Roman" w:cs="Times New Roman"/>
          <w:i/>
          <w:iCs/>
          <w:sz w:val="24"/>
          <w:szCs w:val="24"/>
        </w:rPr>
        <w:t>Chaetoceros socialis</w:t>
      </w:r>
      <w:r>
        <w:rPr>
          <w:rFonts w:ascii="Times New Roman" w:hAnsi="Times New Roman" w:cs="Times New Roman"/>
          <w:sz w:val="24"/>
          <w:szCs w:val="24"/>
        </w:rPr>
        <w:t xml:space="preserve"> f. </w:t>
      </w:r>
      <w:r>
        <w:rPr>
          <w:rFonts w:ascii="Times New Roman" w:hAnsi="Times New Roman" w:cs="Times New Roman"/>
          <w:i/>
          <w:iCs/>
          <w:sz w:val="24"/>
          <w:szCs w:val="24"/>
        </w:rPr>
        <w:t>radians</w:t>
      </w:r>
      <w:r>
        <w:rPr>
          <w:rFonts w:ascii="Times New Roman" w:hAnsi="Times New Roman" w:cs="Times New Roman"/>
          <w:sz w:val="24"/>
          <w:szCs w:val="24"/>
        </w:rPr>
        <w:t>, вегетирующий при температуре -0.6 ÷ +16.7 °С, указывается как характерный и обильный вид в приледниковом планктоне северных морей (</w:t>
      </w:r>
      <w:r>
        <w:rPr>
          <w:rFonts w:ascii="Times New Roman" w:hAnsi="Times New Roman" w:cs="Times New Roman"/>
          <w:sz w:val="24"/>
          <w:szCs w:val="24"/>
          <w:highlight w:val="yellow"/>
        </w:rPr>
        <w:t>Стрельникова, 2006; Poulin et al., 2011</w:t>
      </w:r>
      <w:r>
        <w:rPr>
          <w:rFonts w:ascii="Times New Roman" w:hAnsi="Times New Roman" w:cs="Times New Roman"/>
          <w:sz w:val="24"/>
          <w:szCs w:val="24"/>
        </w:rPr>
        <w:t xml:space="preserve">),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 арктобореальный вид (</w:t>
      </w:r>
      <w:r>
        <w:rPr>
          <w:rFonts w:ascii="Times New Roman" w:hAnsi="Times New Roman" w:cs="Times New Roman"/>
          <w:sz w:val="24"/>
          <w:szCs w:val="24"/>
          <w:highlight w:val="yellow"/>
        </w:rPr>
        <w:t>Hasle, Syvetrsen, 1997</w:t>
      </w:r>
      <w:r>
        <w:rPr>
          <w:rFonts w:ascii="Times New Roman" w:hAnsi="Times New Roman" w:cs="Times New Roman"/>
          <w:sz w:val="24"/>
          <w:szCs w:val="24"/>
        </w:rPr>
        <w:t xml:space="preserve">). Присутствие в составе диатомовых ассоциаций ледово-морских диатомей, в том числе </w:t>
      </w:r>
      <w:r>
        <w:rPr>
          <w:rFonts w:ascii="Times New Roman" w:hAnsi="Times New Roman" w:cs="Times New Roman"/>
          <w:i/>
          <w:iCs/>
          <w:sz w:val="24"/>
          <w:szCs w:val="24"/>
        </w:rPr>
        <w:t>Craspedopleura kryophila</w:t>
      </w:r>
      <w:r>
        <w:rPr>
          <w:rFonts w:ascii="Times New Roman" w:hAnsi="Times New Roman" w:cs="Times New Roman"/>
          <w:sz w:val="24"/>
          <w:szCs w:val="24"/>
        </w:rPr>
        <w:t>, считающего эндемиком льдов Арктики (</w:t>
      </w:r>
      <w:r>
        <w:rPr>
          <w:rFonts w:ascii="Times New Roman" w:hAnsi="Times New Roman" w:cs="Times New Roman"/>
          <w:sz w:val="24"/>
          <w:szCs w:val="24"/>
          <w:highlight w:val="yellow"/>
        </w:rPr>
        <w:t>Poulin, 1993</w:t>
      </w:r>
      <w:r>
        <w:rPr>
          <w:rFonts w:ascii="Times New Roman" w:hAnsi="Times New Roman" w:cs="Times New Roman"/>
          <w:sz w:val="24"/>
          <w:szCs w:val="24"/>
        </w:rPr>
        <w:t xml:space="preserve">), говорит о наличии постоянного или сезонного ледового покрова. Кроме того, для планктонных доминантных и субдоминантных видов морские льды являются одним из возможных местообитаний. Отмечено обильное развитие и даже доминирование в составе криофлоры и в подледном планктоне </w:t>
      </w:r>
      <w:r>
        <w:rPr>
          <w:rFonts w:ascii="Times New Roman" w:hAnsi="Times New Roman" w:cs="Times New Roman"/>
          <w:i/>
          <w:iCs/>
          <w:sz w:val="24"/>
          <w:szCs w:val="24"/>
          <w:lang w:val="en-US"/>
        </w:rPr>
        <w:t>Chaetoceros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socialis</w:t>
      </w:r>
      <w:r>
        <w:rPr>
          <w:rFonts w:ascii="Times New Roman" w:hAnsi="Times New Roman" w:cs="Times New Roman"/>
          <w:sz w:val="24"/>
          <w:szCs w:val="24"/>
        </w:rPr>
        <w:t xml:space="preserve">, </w:t>
      </w:r>
      <w:r>
        <w:rPr>
          <w:rFonts w:ascii="Times New Roman" w:hAnsi="Times New Roman" w:cs="Times New Roman"/>
          <w:i/>
          <w:iCs/>
          <w:sz w:val="24"/>
          <w:szCs w:val="24"/>
          <w:lang w:val="en-US"/>
        </w:rPr>
        <w:t>C</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holsaticus</w:t>
      </w:r>
      <w:r>
        <w:rPr>
          <w:rFonts w:ascii="Times New Roman" w:hAnsi="Times New Roman" w:cs="Times New Roman"/>
          <w:sz w:val="24"/>
          <w:szCs w:val="24"/>
        </w:rPr>
        <w:t xml:space="preserve">, </w:t>
      </w:r>
      <w:r>
        <w:rPr>
          <w:rFonts w:ascii="Times New Roman" w:hAnsi="Times New Roman" w:cs="Times New Roman"/>
          <w:i/>
          <w:iCs/>
          <w:sz w:val="24"/>
          <w:szCs w:val="24"/>
          <w:lang w:val="en-US"/>
        </w:rPr>
        <w:t>Thalassiosira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hyperborea</w:t>
      </w:r>
      <w:r>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Гогорев, 1998; </w:t>
      </w:r>
      <w:r>
        <w:rPr>
          <w:rFonts w:ascii="Times New Roman" w:hAnsi="Times New Roman" w:cs="Times New Roman"/>
          <w:sz w:val="24"/>
          <w:szCs w:val="24"/>
          <w:highlight w:val="yellow"/>
          <w:lang w:val="en-US"/>
        </w:rPr>
        <w:t>Okolodkov</w:t>
      </w:r>
      <w:r>
        <w:rPr>
          <w:rFonts w:ascii="Times New Roman" w:hAnsi="Times New Roman" w:cs="Times New Roman"/>
          <w:sz w:val="24"/>
          <w:szCs w:val="24"/>
          <w:highlight w:val="yellow"/>
        </w:rPr>
        <w:t xml:space="preserve">, 1992; Meiners et al., 2002; </w:t>
      </w:r>
      <w:r>
        <w:rPr>
          <w:rFonts w:ascii="Times New Roman" w:hAnsi="Times New Roman" w:cs="Times New Roman"/>
          <w:sz w:val="24"/>
          <w:szCs w:val="24"/>
          <w:highlight w:val="yellow"/>
          <w:lang w:val="en-US"/>
        </w:rPr>
        <w:t>Ratkova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Wassmann</w:t>
      </w:r>
      <w:r>
        <w:rPr>
          <w:rFonts w:ascii="Times New Roman" w:hAnsi="Times New Roman" w:cs="Times New Roman"/>
          <w:sz w:val="24"/>
          <w:szCs w:val="24"/>
          <w:highlight w:val="yellow"/>
        </w:rPr>
        <w:t>, 2005</w:t>
      </w:r>
      <w:r>
        <w:rPr>
          <w:rFonts w:ascii="Times New Roman" w:hAnsi="Times New Roman" w:cs="Times New Roman"/>
          <w:sz w:val="24"/>
          <w:szCs w:val="24"/>
        </w:rPr>
        <w:t xml:space="preserve"> и др.), а также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i/>
          <w:iCs/>
          <w:sz w:val="24"/>
          <w:szCs w:val="24"/>
        </w:rPr>
        <w:t xml:space="preserve"> </w:t>
      </w:r>
      <w:r>
        <w:rPr>
          <w:rFonts w:ascii="Times New Roman" w:hAnsi="Times New Roman" w:cs="Times New Roman"/>
          <w:sz w:val="24"/>
          <w:szCs w:val="24"/>
        </w:rPr>
        <w:t>(</w:t>
      </w:r>
      <w:r>
        <w:rPr>
          <w:rFonts w:ascii="Times New Roman" w:hAnsi="Times New Roman" w:cs="Times New Roman"/>
          <w:sz w:val="24"/>
          <w:szCs w:val="24"/>
          <w:highlight w:val="yellow"/>
        </w:rPr>
        <w:t>Okolodkov, 1993</w:t>
      </w:r>
      <w:r>
        <w:rPr>
          <w:rFonts w:ascii="Times New Roman" w:hAnsi="Times New Roman" w:cs="Times New Roman"/>
          <w:sz w:val="24"/>
          <w:szCs w:val="24"/>
        </w:rPr>
        <w:t xml:space="preserve">). Также для Белого моря также отмечено развитие в составе криофлоры бентосных видов, характерных для ДЗ 1 расчистки А карьера: </w:t>
      </w:r>
      <w:r>
        <w:rPr>
          <w:rFonts w:ascii="Times New Roman" w:hAnsi="Times New Roman" w:cs="Times New Roman"/>
          <w:i/>
          <w:iCs/>
          <w:sz w:val="24"/>
          <w:szCs w:val="24"/>
        </w:rPr>
        <w:t>Planothidium delicatulum</w:t>
      </w:r>
      <w:r>
        <w:rPr>
          <w:rFonts w:ascii="Times New Roman" w:hAnsi="Times New Roman" w:cs="Times New Roman"/>
          <w:sz w:val="24"/>
          <w:szCs w:val="24"/>
        </w:rPr>
        <w:t xml:space="preserve">, </w:t>
      </w:r>
      <w:r>
        <w:rPr>
          <w:rFonts w:ascii="Times New Roman" w:hAnsi="Times New Roman" w:cs="Times New Roman"/>
          <w:i/>
          <w:iCs/>
          <w:sz w:val="24"/>
          <w:szCs w:val="24"/>
        </w:rPr>
        <w:t>Cocconeis scutellum</w:t>
      </w:r>
      <w:r>
        <w:rPr>
          <w:rFonts w:ascii="Times New Roman" w:hAnsi="Times New Roman" w:cs="Times New Roman"/>
          <w:sz w:val="24"/>
          <w:szCs w:val="24"/>
        </w:rPr>
        <w:t xml:space="preserve">, </w:t>
      </w:r>
      <w:r>
        <w:rPr>
          <w:rFonts w:ascii="Times New Roman" w:hAnsi="Times New Roman" w:cs="Times New Roman"/>
          <w:i/>
          <w:iCs/>
          <w:sz w:val="24"/>
          <w:szCs w:val="24"/>
        </w:rPr>
        <w:t>Tabularia tabulata</w:t>
      </w:r>
      <w:r>
        <w:rPr>
          <w:rFonts w:ascii="Times New Roman" w:hAnsi="Times New Roman" w:cs="Times New Roman"/>
          <w:sz w:val="24"/>
          <w:szCs w:val="24"/>
        </w:rPr>
        <w:t xml:space="preserve">, </w:t>
      </w:r>
      <w:r>
        <w:rPr>
          <w:rFonts w:ascii="Times New Roman" w:hAnsi="Times New Roman" w:cs="Times New Roman"/>
          <w:i/>
          <w:iCs/>
          <w:sz w:val="24"/>
          <w:szCs w:val="24"/>
        </w:rPr>
        <w:t>Staurosirella martyi</w:t>
      </w:r>
      <w:r>
        <w:rPr>
          <w:rFonts w:ascii="Times New Roman" w:hAnsi="Times New Roman" w:cs="Times New Roman"/>
          <w:sz w:val="24"/>
          <w:szCs w:val="24"/>
        </w:rPr>
        <w:t xml:space="preserve">, </w:t>
      </w:r>
      <w:r>
        <w:rPr>
          <w:rFonts w:ascii="Times New Roman" w:hAnsi="Times New Roman" w:cs="Times New Roman"/>
          <w:i/>
          <w:iCs/>
          <w:sz w:val="24"/>
          <w:szCs w:val="24"/>
        </w:rPr>
        <w:t>Pantocsekiella kuetzingiana</w:t>
      </w:r>
      <w:r>
        <w:rPr>
          <w:rFonts w:ascii="Times New Roman" w:hAnsi="Times New Roman" w:cs="Times New Roman"/>
          <w:sz w:val="24"/>
          <w:szCs w:val="24"/>
        </w:rPr>
        <w:t xml:space="preserve">, </w:t>
      </w:r>
      <w:r>
        <w:rPr>
          <w:rFonts w:ascii="Times New Roman" w:hAnsi="Times New Roman" w:cs="Times New Roman"/>
          <w:i/>
          <w:iCs/>
          <w:sz w:val="24"/>
          <w:szCs w:val="24"/>
        </w:rPr>
        <w:t>Melosira moniliformis</w:t>
      </w:r>
      <w:r>
        <w:rPr>
          <w:rFonts w:ascii="Times New Roman" w:hAnsi="Times New Roman" w:cs="Times New Roman"/>
          <w:sz w:val="24"/>
          <w:szCs w:val="24"/>
        </w:rPr>
        <w:t xml:space="preserve"> (</w:t>
      </w:r>
      <w:r>
        <w:rPr>
          <w:rFonts w:ascii="Times New Roman" w:hAnsi="Times New Roman" w:cs="Times New Roman"/>
          <w:sz w:val="24"/>
          <w:szCs w:val="24"/>
          <w:highlight w:val="yellow"/>
        </w:rPr>
        <w:t>Ильяш и др., 2003; Ratkova, Wassmann, 2005</w:t>
      </w:r>
      <w:r>
        <w:rPr>
          <w:rFonts w:ascii="Times New Roman" w:hAnsi="Times New Roman" w:cs="Times New Roman"/>
          <w:sz w:val="24"/>
          <w:szCs w:val="24"/>
        </w:rPr>
        <w:t xml:space="preserve">). Очень низкие концентрации диатомей в отложениях при их достаточно хорошей сохранности и малой степени фрагментированности, в том числе ледово-морских диатомей с тонким панцирем, свидетельствуют об осадконакоплении в водоеме с крайне низкой продуктивностью и спокойным гидродинамическим режимом, что, по-видимому, было обусловлено закрытостью Колвицкой ложбины от открытого моря. Факторами, ограничивавшими развитие альгофлоры, могли выступать короткий вегетационный период, бедность растворенными биогенными элементами и высокая мутность воды. Отсутствие спикул губок, являющихся неотъемлемой частью современных прибрежно-морских отложений, также говорит о неблагоприятных условиях развития донной биоты. В верхней части слоя уменьшение доли планктонных видов, большая фрагментированность створок и появление переотложенных диатомей могут быть связаны с понижением уровня бассейна и усилением гидродинамической активности. Исчезновение типичных ледово-морских видов диатомей могло быть связано как с уменьшением ледовитости водоема, так и с худшей сохранностью створок по сравнению с нижележащими отложениями. В то же время, </w:t>
      </w:r>
      <w:commentRangeStart w:id="19"/>
      <w:commentRangeStart w:id="20"/>
      <w:r>
        <w:rPr>
          <w:rFonts w:ascii="Times New Roman" w:hAnsi="Times New Roman" w:cs="Times New Roman"/>
          <w:sz w:val="24"/>
          <w:szCs w:val="24"/>
        </w:rPr>
        <w:t>как и ниже по разрезу</w:t>
      </w:r>
      <w:commentRangeEnd w:id="19"/>
      <w:r>
        <w:rPr>
          <w:rStyle w:val="5"/>
          <w:rFonts w:ascii="Times New Roman" w:hAnsi="Times New Roman" w:cs="Times New Roman"/>
          <w:sz w:val="24"/>
          <w:szCs w:val="24"/>
        </w:rPr>
        <w:commentReference w:id="19"/>
      </w:r>
      <w:commentRangeEnd w:id="20"/>
      <w:r>
        <w:rPr>
          <w:rStyle w:val="5"/>
          <w:rFonts w:ascii="Times New Roman" w:hAnsi="Times New Roman" w:cs="Times New Roman"/>
          <w:sz w:val="24"/>
          <w:szCs w:val="24"/>
        </w:rPr>
        <w:commentReference w:id="20"/>
      </w:r>
      <w:r>
        <w:rPr>
          <w:rFonts w:ascii="Times New Roman" w:hAnsi="Times New Roman" w:cs="Times New Roman"/>
          <w:sz w:val="24"/>
          <w:szCs w:val="24"/>
        </w:rPr>
        <w:t xml:space="preserve">, характерно </w:t>
      </w:r>
      <w:r>
        <w:rPr>
          <w:rFonts w:ascii="Times New Roman" w:hAnsi="Times New Roman" w:cs="Times New Roman"/>
          <w:strike/>
          <w:sz w:val="24"/>
          <w:szCs w:val="24"/>
        </w:rPr>
        <w:t>низкое содержание диатомей в осадке и</w:t>
      </w:r>
      <w:r>
        <w:rPr>
          <w:rFonts w:ascii="Times New Roman" w:hAnsi="Times New Roman" w:cs="Times New Roman"/>
          <w:sz w:val="24"/>
          <w:szCs w:val="24"/>
        </w:rPr>
        <w:t xml:space="preserve"> доминирование холодноводных видов.</w:t>
      </w:r>
      <w:r>
        <w:t xml:space="preserve"> </w:t>
      </w:r>
      <w:r>
        <w:rPr>
          <w:rFonts w:ascii="Times New Roman" w:hAnsi="Times New Roman" w:cs="Times New Roman"/>
          <w:sz w:val="24"/>
          <w:szCs w:val="24"/>
        </w:rPr>
        <w:t xml:space="preserve">Для тихопланктонного вида </w:t>
      </w:r>
      <w:r>
        <w:rPr>
          <w:rFonts w:ascii="Times New Roman" w:hAnsi="Times New Roman" w:cs="Times New Roman"/>
          <w:i/>
          <w:iCs/>
          <w:sz w:val="24"/>
          <w:szCs w:val="24"/>
        </w:rPr>
        <w:t>Thalassiosira decipiens</w:t>
      </w:r>
      <w:r>
        <w:rPr>
          <w:rFonts w:ascii="Times New Roman" w:hAnsi="Times New Roman" w:cs="Times New Roman"/>
          <w:sz w:val="24"/>
          <w:szCs w:val="24"/>
        </w:rPr>
        <w:t>, обильного в верхней части ДЗ 1b отмечается зимний максимум развития в Северном море (</w:t>
      </w:r>
      <w:r>
        <w:rPr>
          <w:rFonts w:ascii="Times New Roman" w:hAnsi="Times New Roman" w:cs="Times New Roman"/>
          <w:sz w:val="24"/>
          <w:szCs w:val="24"/>
          <w:highlight w:val="yellow"/>
        </w:rPr>
        <w:t>Hoppenrath et al., 2011</w:t>
      </w:r>
      <w:r>
        <w:rPr>
          <w:rFonts w:ascii="Times New Roman" w:hAnsi="Times New Roman" w:cs="Times New Roman"/>
          <w:sz w:val="24"/>
          <w:szCs w:val="24"/>
        </w:rPr>
        <w:t>).</w:t>
      </w:r>
      <w:r>
        <w:t xml:space="preserve"> </w:t>
      </w:r>
    </w:p>
    <w:p w14:paraId="5D309C6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Видовой состав диатомовых ассоциаций ДЗ 1 расчистки А карьера близок к таковому в нижней части глинистых отложений Антюх-Ламбина, малого озера в бассейне Колвицкого озера (</w:t>
      </w:r>
      <w:r>
        <w:rPr>
          <w:rFonts w:ascii="Times New Roman" w:hAnsi="Times New Roman" w:cs="Times New Roman"/>
          <w:sz w:val="24"/>
          <w:szCs w:val="24"/>
          <w:highlight w:val="yellow"/>
        </w:rPr>
        <w:t>Лудикова, Греков, 2017</w:t>
      </w:r>
      <w:r>
        <w:rPr>
          <w:rFonts w:ascii="Times New Roman" w:hAnsi="Times New Roman" w:cs="Times New Roman"/>
          <w:sz w:val="24"/>
          <w:szCs w:val="24"/>
        </w:rPr>
        <w:t xml:space="preserve">). Также диатомовые ассоциации сходного состава (доминирование спор </w:t>
      </w:r>
      <w:r>
        <w:rPr>
          <w:rFonts w:ascii="Times New Roman" w:hAnsi="Times New Roman" w:cs="Times New Roman"/>
          <w:i/>
          <w:iCs/>
          <w:sz w:val="24"/>
          <w:szCs w:val="24"/>
        </w:rPr>
        <w:t>Chaetoceros</w:t>
      </w:r>
      <w:r>
        <w:rPr>
          <w:rFonts w:ascii="Times New Roman" w:hAnsi="Times New Roman" w:cs="Times New Roman"/>
          <w:sz w:val="24"/>
          <w:szCs w:val="24"/>
        </w:rPr>
        <w:t xml:space="preserve"> spp., в том числе </w:t>
      </w:r>
      <w:r>
        <w:rPr>
          <w:rFonts w:ascii="Times New Roman" w:hAnsi="Times New Roman" w:cs="Times New Roman"/>
          <w:i/>
          <w:iCs/>
          <w:sz w:val="24"/>
          <w:szCs w:val="24"/>
        </w:rPr>
        <w:t>C. holsaticus</w:t>
      </w:r>
      <w:r>
        <w:rPr>
          <w:rFonts w:ascii="Times New Roman" w:hAnsi="Times New Roman" w:cs="Times New Roman"/>
          <w:sz w:val="24"/>
          <w:szCs w:val="24"/>
        </w:rPr>
        <w:t xml:space="preserve"> и </w:t>
      </w:r>
      <w:r>
        <w:rPr>
          <w:rFonts w:ascii="Times New Roman" w:hAnsi="Times New Roman" w:cs="Times New Roman"/>
          <w:i/>
          <w:iCs/>
          <w:sz w:val="24"/>
          <w:szCs w:val="24"/>
        </w:rPr>
        <w:t>C. socialis</w:t>
      </w:r>
      <w:r>
        <w:rPr>
          <w:rFonts w:ascii="Times New Roman" w:hAnsi="Times New Roman" w:cs="Times New Roman"/>
          <w:sz w:val="24"/>
          <w:szCs w:val="24"/>
        </w:rPr>
        <w:t>, донные солоноватоводные виды, отсутствие спикул губок) описаны в нижней части отложений оз. Канозеро, датированных по данным спорово-пыльцевого анализа Средним Дриасом (</w:t>
      </w:r>
      <w:r>
        <w:rPr>
          <w:rFonts w:ascii="Times New Roman" w:hAnsi="Times New Roman" w:cs="Times New Roman"/>
          <w:sz w:val="24"/>
          <w:szCs w:val="24"/>
          <w:highlight w:val="yellow"/>
        </w:rPr>
        <w:t>Ludikova et al., 2023</w:t>
      </w:r>
      <w:r>
        <w:rPr>
          <w:rFonts w:ascii="Times New Roman" w:hAnsi="Times New Roman" w:cs="Times New Roman"/>
          <w:sz w:val="24"/>
          <w:szCs w:val="24"/>
        </w:rPr>
        <w:t>). Однако, существенно более высокие концентрации створок в отложениях (до 8 млн. ств./г), большее таксономическое разнообразие, отсутствие ледово-морских диатомей свидетельствуют об осадконакоплении в более продуктивном опресненном морском бассейне. Другие находки позднеледниковой диатомовой флоры в отложениях западной части Беломорского бассейна немногочисленны: шельф Соловецких островов (</w:t>
      </w:r>
      <w:r>
        <w:rPr>
          <w:rFonts w:ascii="Times New Roman" w:hAnsi="Times New Roman" w:cs="Times New Roman"/>
          <w:sz w:val="24"/>
          <w:szCs w:val="24"/>
          <w:highlight w:val="yellow"/>
        </w:rPr>
        <w:t>Джиноридзе, 1971; Невесский и др., 1977; Полякова и др., 2014</w:t>
      </w:r>
      <w:r>
        <w:rPr>
          <w:rFonts w:ascii="Times New Roman" w:hAnsi="Times New Roman" w:cs="Times New Roman"/>
          <w:sz w:val="24"/>
          <w:szCs w:val="24"/>
        </w:rPr>
        <w:t>), район с. Умба (</w:t>
      </w:r>
      <w:r>
        <w:rPr>
          <w:rFonts w:ascii="Times New Roman" w:hAnsi="Times New Roman" w:cs="Times New Roman"/>
          <w:sz w:val="24"/>
          <w:szCs w:val="24"/>
          <w:highlight w:val="yellow"/>
        </w:rPr>
        <w:t>Каган, 2012; Колька и др., 2013</w:t>
      </w:r>
      <w:r>
        <w:rPr>
          <w:rFonts w:ascii="Times New Roman" w:hAnsi="Times New Roman" w:cs="Times New Roman"/>
          <w:sz w:val="24"/>
          <w:szCs w:val="24"/>
        </w:rPr>
        <w:t>), район с. Чупа (</w:t>
      </w:r>
      <w:r>
        <w:rPr>
          <w:rFonts w:ascii="Times New Roman" w:hAnsi="Times New Roman" w:cs="Times New Roman"/>
          <w:sz w:val="24"/>
          <w:szCs w:val="24"/>
          <w:highlight w:val="yellow"/>
        </w:rPr>
        <w:t>Корсакова и др., 2016</w:t>
      </w:r>
      <w:r>
        <w:rPr>
          <w:rFonts w:ascii="Times New Roman" w:hAnsi="Times New Roman" w:cs="Times New Roman"/>
          <w:sz w:val="24"/>
          <w:szCs w:val="24"/>
        </w:rPr>
        <w:t xml:space="preserve">). Во всех случаях результаты диатомового анализа показывают наличие опресненного морского бассейна. Характерными видами являются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w:t>
      </w:r>
      <w:r>
        <w:rPr>
          <w:rFonts w:ascii="Times New Roman" w:hAnsi="Times New Roman" w:cs="Times New Roman"/>
          <w:i/>
          <w:iCs/>
          <w:sz w:val="24"/>
          <w:szCs w:val="24"/>
        </w:rPr>
        <w:t>Tabularia fasciculata</w:t>
      </w:r>
      <w:r>
        <w:rPr>
          <w:rFonts w:ascii="Times New Roman" w:hAnsi="Times New Roman" w:cs="Times New Roman"/>
          <w:sz w:val="24"/>
          <w:szCs w:val="24"/>
        </w:rPr>
        <w:t>. Более низкие концентрации диатомей и присутствие ледово-морских видов в разрезе карьера в долине р. Колвица, по всей видимости, обусловлены более близким положением края ледникового щита.</w:t>
      </w:r>
    </w:p>
    <w:p w14:paraId="1B6F6D6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cyan"/>
        </w:rPr>
        <w:t>Или сюда вставить про южный пролив…</w:t>
      </w:r>
    </w:p>
    <w:p w14:paraId="2611008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Анализ распределения фоссилий малакофауны и беспозвоночных по глубине показал, что в этом слое обнаруживаются остатки тех видов, которые в рецентной фауне встречаются, в среднем, на достаточно большой глубине.  Это позволяет предположить, что осадконакопление в начале позднеледниковой трансгрессии проходило на глубине более 20 метров. После вытаивания блоков льда в Кандалакшском заливе, территория Колвицкой ложбины могла быть занята проливом, соединявшим части морского бассейна на месте современной Колвицкой губы и котловины оз. Колвицкого (</w:t>
      </w:r>
      <w:r>
        <w:rPr>
          <w:rFonts w:ascii="Times New Roman" w:hAnsi="Times New Roman" w:cs="Times New Roman"/>
          <w:sz w:val="24"/>
          <w:szCs w:val="24"/>
          <w:highlight w:val="yellow"/>
        </w:rPr>
        <w:t>Рис. Х9, г</w:t>
      </w:r>
      <w:r>
        <w:rPr>
          <w:rFonts w:ascii="Times New Roman" w:hAnsi="Times New Roman" w:cs="Times New Roman"/>
          <w:sz w:val="24"/>
          <w:szCs w:val="24"/>
        </w:rPr>
        <w:t>) (с</w:t>
      </w:r>
      <w:r>
        <w:rPr>
          <w:rFonts w:ascii="Times New Roman" w:hAnsi="Times New Roman" w:cs="Times New Roman"/>
          <w:sz w:val="24"/>
          <w:szCs w:val="24"/>
          <w:highlight w:val="yellow"/>
        </w:rPr>
        <w:t>сылка 8</w:t>
      </w:r>
      <w:r>
        <w:rPr>
          <w:rFonts w:ascii="Times New Roman" w:hAnsi="Times New Roman" w:cs="Times New Roman"/>
          <w:sz w:val="24"/>
          <w:szCs w:val="24"/>
        </w:rPr>
        <w:t xml:space="preserve">).  Для этого пролива были характерны достаточно сильные приливно-отливные течения, а на дне формировалось сообщество, в котором доминировали черви из семейства </w:t>
      </w:r>
      <w:r>
        <w:rPr>
          <w:rFonts w:ascii="Times New Roman" w:hAnsi="Times New Roman" w:cs="Times New Roman"/>
          <w:sz w:val="24"/>
          <w:szCs w:val="24"/>
          <w:lang w:val="en-US"/>
        </w:rPr>
        <w:t>Maldanidae</w:t>
      </w:r>
      <w:r>
        <w:rPr>
          <w:rFonts w:ascii="Times New Roman" w:hAnsi="Times New Roman" w:cs="Times New Roman"/>
          <w:sz w:val="24"/>
          <w:szCs w:val="24"/>
        </w:rPr>
        <w:t xml:space="preserve">. </w:t>
      </w:r>
      <w:r>
        <w:rPr>
          <w:rFonts w:ascii="Times New Roman" w:hAnsi="Times New Roman" w:cs="Times New Roman"/>
          <w:sz w:val="24"/>
          <w:szCs w:val="24"/>
          <w:highlight w:val="cyan"/>
        </w:rPr>
        <w:t>Сюда вставить про соединение и через южный пролив - аналоги.</w:t>
      </w:r>
      <w:r>
        <w:rPr>
          <w:rFonts w:ascii="Times New Roman" w:hAnsi="Times New Roman" w:cs="Times New Roman"/>
          <w:sz w:val="24"/>
          <w:szCs w:val="24"/>
        </w:rPr>
        <w:t xml:space="preserve"> Впоследствии гидродинамический режим изменился. Возможно, на дне возникли какие-то барьеры (по аналогии с современными порогами в заливах Белого моря), которые превратили участок, где формировались отложения, в узко вдающийся залив с полузамкнутой котловиной в кутовой части, с глубиной около 20 м. В этом биотопе было представлено сообщество с доминированием арктических форм (</w:t>
      </w:r>
      <w:r>
        <w:rPr>
          <w:rFonts w:ascii="Times New Roman" w:hAnsi="Times New Roman" w:cs="Times New Roman"/>
          <w:i/>
          <w:sz w:val="24"/>
          <w:szCs w:val="24"/>
          <w:lang w:val="en-US"/>
        </w:rPr>
        <w:t>G</w:t>
      </w:r>
      <w:r>
        <w:rPr>
          <w:rFonts w:ascii="Times New Roman" w:hAnsi="Times New Roman" w:cs="Times New Roman"/>
          <w:i/>
          <w:sz w:val="24"/>
          <w:szCs w:val="24"/>
        </w:rPr>
        <w:t>.</w:t>
      </w:r>
      <w:r>
        <w:rPr>
          <w:rFonts w:ascii="Times New Roman" w:hAnsi="Times New Roman" w:cs="Times New Roman"/>
          <w:i/>
          <w:sz w:val="24"/>
          <w:szCs w:val="24"/>
          <w:lang w:val="en-US"/>
        </w:rPr>
        <w:t> oculata</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i/>
          <w:sz w:val="24"/>
          <w:szCs w:val="24"/>
          <w:lang w:val="en-US"/>
        </w:rPr>
        <w:t>P</w:t>
      </w:r>
      <w:r>
        <w:rPr>
          <w:rFonts w:ascii="Times New Roman" w:hAnsi="Times New Roman" w:cs="Times New Roman"/>
          <w:i/>
          <w:sz w:val="24"/>
          <w:szCs w:val="24"/>
        </w:rPr>
        <w:t>.</w:t>
      </w:r>
      <w:r>
        <w:rPr>
          <w:rFonts w:ascii="Times New Roman" w:hAnsi="Times New Roman" w:cs="Times New Roman"/>
          <w:i/>
          <w:sz w:val="24"/>
          <w:szCs w:val="24"/>
          <w:lang w:val="en-US"/>
        </w:rPr>
        <w:t> arctica</w:t>
      </w:r>
      <w:r>
        <w:rPr>
          <w:rFonts w:ascii="Times New Roman" w:hAnsi="Times New Roman" w:cs="Times New Roman"/>
          <w:sz w:val="24"/>
          <w:szCs w:val="24"/>
        </w:rPr>
        <w:t xml:space="preserve">). </w:t>
      </w:r>
      <w:commentRangeStart w:id="21"/>
      <w:r>
        <w:rPr>
          <w:rFonts w:ascii="Times New Roman" w:hAnsi="Times New Roman" w:cs="Times New Roman"/>
          <w:sz w:val="24"/>
          <w:szCs w:val="24"/>
        </w:rPr>
        <w:t>Общее продолжения поднятия территории привело к обмелению акватории. Это сопровождалось переходом к сообществам с доминированием более теплолюбивых животных (</w:t>
      </w:r>
      <w:r>
        <w:rPr>
          <w:rFonts w:ascii="Times New Roman" w:hAnsi="Times New Roman" w:cs="Times New Roman"/>
          <w:sz w:val="24"/>
          <w:szCs w:val="24"/>
          <w:lang w:val="en-US"/>
        </w:rPr>
        <w:t>D</w:t>
      </w:r>
      <w:r>
        <w:rPr>
          <w:rFonts w:ascii="Times New Roman" w:hAnsi="Times New Roman" w:cs="Times New Roman"/>
          <w:sz w:val="24"/>
          <w:szCs w:val="24"/>
        </w:rPr>
        <w:t xml:space="preserve">. </w:t>
      </w:r>
      <w:r>
        <w:rPr>
          <w:rFonts w:ascii="Times New Roman" w:hAnsi="Times New Roman" w:cs="Times New Roman"/>
          <w:sz w:val="24"/>
          <w:szCs w:val="24"/>
          <w:lang w:val="en-US"/>
        </w:rPr>
        <w:t>quadrilobata</w:t>
      </w:r>
      <w:r>
        <w:rPr>
          <w:rFonts w:ascii="Times New Roman" w:hAnsi="Times New Roman" w:cs="Times New Roman"/>
          <w:sz w:val="24"/>
          <w:szCs w:val="24"/>
        </w:rPr>
        <w:t xml:space="preserve"> + </w:t>
      </w:r>
      <w:r>
        <w:rPr>
          <w:rFonts w:ascii="Times New Roman" w:hAnsi="Times New Roman" w:cs="Times New Roman"/>
          <w:sz w:val="24"/>
          <w:szCs w:val="24"/>
          <w:lang w:val="en-US"/>
        </w:rPr>
        <w:t>Macoma</w:t>
      </w:r>
      <w:r>
        <w:rPr>
          <w:rFonts w:ascii="Times New Roman" w:hAnsi="Times New Roman" w:cs="Times New Roman"/>
          <w:sz w:val="24"/>
          <w:szCs w:val="24"/>
        </w:rPr>
        <w:t xml:space="preserve">). В дальнейшем относительное падение уровня моря привело к выходу данного участка дна сублиторальную и литоральную зоны, где и сформировалась мидиевая банка. </w:t>
      </w:r>
      <w:commentRangeEnd w:id="21"/>
      <w:r>
        <w:commentReference w:id="21"/>
      </w:r>
    </w:p>
    <w:p w14:paraId="7BC3B17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Видовой состав диатомовых ассоциаций в этом слое и невысокая доля планктонных видов говорят об осадконакоплении в пределах литорали холодноводного морского бассейна. Доминантные виды характеризуются, в основном, как широко распространенные, встречающиеся всесветно в прибрежных частях морей и океанов (</w:t>
      </w:r>
      <w:r>
        <w:rPr>
          <w:rFonts w:ascii="Times New Roman" w:hAnsi="Times New Roman" w:cs="Times New Roman"/>
          <w:i/>
          <w:iCs/>
          <w:sz w:val="24"/>
          <w:szCs w:val="24"/>
          <w:lang w:val="en-US"/>
        </w:rPr>
        <w:t>Diploneis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smithii</w:t>
      </w:r>
      <w:r>
        <w:rPr>
          <w:rFonts w:ascii="Times New Roman" w:hAnsi="Times New Roman" w:cs="Times New Roman"/>
          <w:sz w:val="24"/>
          <w:szCs w:val="24"/>
        </w:rPr>
        <w:t xml:space="preserve">, </w:t>
      </w:r>
      <w:r>
        <w:rPr>
          <w:rFonts w:ascii="Times New Roman" w:hAnsi="Times New Roman" w:cs="Times New Roman"/>
          <w:i/>
          <w:iCs/>
          <w:sz w:val="24"/>
          <w:szCs w:val="24"/>
          <w:lang w:val="en-US"/>
        </w:rPr>
        <w:t>D</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didyma</w:t>
      </w:r>
      <w:r>
        <w:rPr>
          <w:rFonts w:ascii="Times New Roman" w:hAnsi="Times New Roman" w:cs="Times New Roman"/>
          <w:sz w:val="24"/>
          <w:szCs w:val="24"/>
        </w:rPr>
        <w:t xml:space="preserve">, </w:t>
      </w:r>
      <w:r>
        <w:rPr>
          <w:rFonts w:ascii="Times New Roman" w:hAnsi="Times New Roman" w:cs="Times New Roman"/>
          <w:i/>
          <w:iCs/>
          <w:sz w:val="24"/>
          <w:szCs w:val="24"/>
          <w:lang w:val="en-US"/>
        </w:rPr>
        <w:t>Tryblionella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punctata</w:t>
      </w:r>
      <w:r>
        <w:rPr>
          <w:rFonts w:ascii="Times New Roman" w:hAnsi="Times New Roman" w:cs="Times New Roman"/>
          <w:sz w:val="24"/>
          <w:szCs w:val="24"/>
        </w:rPr>
        <w:t xml:space="preserve">). Представляет интерес массовое развитие </w:t>
      </w:r>
      <w:r>
        <w:rPr>
          <w:rFonts w:ascii="Times New Roman" w:hAnsi="Times New Roman" w:cs="Times New Roman"/>
          <w:i/>
          <w:iCs/>
          <w:sz w:val="24"/>
          <w:szCs w:val="24"/>
          <w:lang w:val="en-US"/>
        </w:rPr>
        <w:t>Achnanthes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 редкого морского арктического вида (</w:t>
      </w:r>
      <w:r>
        <w:rPr>
          <w:rFonts w:ascii="Times New Roman" w:hAnsi="Times New Roman" w:cs="Times New Roman"/>
          <w:sz w:val="24"/>
          <w:szCs w:val="24"/>
          <w:highlight w:val="yellow"/>
        </w:rPr>
        <w:t>рис. Х10</w:t>
      </w:r>
      <w:r>
        <w:rPr>
          <w:rFonts w:ascii="Times New Roman" w:hAnsi="Times New Roman" w:cs="Times New Roman"/>
          <w:sz w:val="24"/>
          <w:szCs w:val="24"/>
        </w:rPr>
        <w:t xml:space="preserve">). Первоначально описанный в пробах грунта Норвежско-Гренландского бассейна вместе с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septata</w:t>
      </w:r>
      <w:r>
        <w:rPr>
          <w:rFonts w:ascii="Times New Roman" w:hAnsi="Times New Roman" w:cs="Times New Roman"/>
          <w:sz w:val="24"/>
          <w:szCs w:val="24"/>
        </w:rPr>
        <w:t xml:space="preserve"> (Cleve, 1873), он был выделен в отдельный вид в межледниковых морских отложениях в районе губы Княжая Белого моря (Cleve-Euler, 1915). К сожалению, точная локация и стратиграфическое положение отложений не известны. До настоящего времени имеется всего несколько достоверных находок единичных створок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в поверхностных осадках арктических морей (Бондарчук, 1970; </w:t>
      </w:r>
      <w:r>
        <w:rPr>
          <w:rFonts w:ascii="Times New Roman" w:hAnsi="Times New Roman" w:cs="Times New Roman"/>
          <w:sz w:val="24"/>
          <w:szCs w:val="24"/>
          <w:lang w:val="en-US"/>
        </w:rPr>
        <w:t>Djinoridze</w:t>
      </w:r>
      <w:r>
        <w:rPr>
          <w:rFonts w:ascii="Times New Roman" w:hAnsi="Times New Roman" w:cs="Times New Roman"/>
          <w:sz w:val="24"/>
          <w:szCs w:val="24"/>
        </w:rPr>
        <w:t>, 2000) и позднеледниковых отложениях (</w:t>
      </w:r>
      <w:r>
        <w:rPr>
          <w:rFonts w:ascii="Times New Roman" w:hAnsi="Times New Roman" w:cs="Times New Roman"/>
          <w:sz w:val="24"/>
          <w:szCs w:val="24"/>
          <w:lang w:val="en-US"/>
        </w:rPr>
        <w:t>Brander</w:t>
      </w:r>
      <w:r>
        <w:rPr>
          <w:rFonts w:ascii="Times New Roman" w:hAnsi="Times New Roman" w:cs="Times New Roman"/>
          <w:sz w:val="24"/>
          <w:szCs w:val="24"/>
        </w:rPr>
        <w:t xml:space="preserve">, 1943; Hessland, Cleve-Euler, 1949). Так, на юго-восточном побережье Швеции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присутствует в морских глинах, заполняющих депрессию между </w:t>
      </w:r>
      <w:r>
        <w:rPr>
          <w:rFonts w:ascii="Times New Roman" w:hAnsi="Times New Roman"/>
          <w:sz w:val="24"/>
          <w:szCs w:val="24"/>
        </w:rPr>
        <w:t>двумя поясами конечных морен (</w:t>
      </w:r>
      <w:r>
        <w:rPr>
          <w:rFonts w:ascii="Times New Roman" w:hAnsi="Times New Roman" w:cs="Times New Roman"/>
          <w:sz w:val="24"/>
          <w:szCs w:val="24"/>
        </w:rPr>
        <w:t>Hessland, Cleve-Euler, 1949</w:t>
      </w:r>
      <w:r>
        <w:rPr>
          <w:rFonts w:ascii="Times New Roman" w:hAnsi="Times New Roman"/>
          <w:sz w:val="24"/>
          <w:szCs w:val="24"/>
        </w:rPr>
        <w:t xml:space="preserve">), датированных 14.0 и 13.6 кал. тыс. л. (Stroeven et al., 2016). </w:t>
      </w:r>
      <w:r>
        <w:rPr>
          <w:rFonts w:ascii="Times New Roman" w:hAnsi="Times New Roman" w:cs="Times New Roman"/>
          <w:sz w:val="24"/>
          <w:szCs w:val="24"/>
        </w:rPr>
        <w:t xml:space="preserve">В долине р. Вуоксы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отмечен во вторичном залегании: в глинистых окатышах в песчаных водноледниковых отложениях (</w:t>
      </w:r>
      <w:r>
        <w:rPr>
          <w:rFonts w:ascii="Times New Roman" w:hAnsi="Times New Roman" w:cs="Times New Roman"/>
          <w:sz w:val="24"/>
          <w:szCs w:val="24"/>
          <w:lang w:val="en-US"/>
        </w:rPr>
        <w:t>Brander</w:t>
      </w:r>
      <w:r>
        <w:rPr>
          <w:rFonts w:ascii="Times New Roman" w:hAnsi="Times New Roman" w:cs="Times New Roman"/>
          <w:sz w:val="24"/>
          <w:szCs w:val="24"/>
        </w:rPr>
        <w:t xml:space="preserve">, 1943). Во всех случаях находок </w:t>
      </w:r>
      <w:r>
        <w:rPr>
          <w:rFonts w:ascii="Times New Roman" w:hAnsi="Times New Roman" w:cs="Times New Roman"/>
          <w:i/>
          <w:iCs/>
          <w:sz w:val="24"/>
          <w:szCs w:val="24"/>
          <w:lang w:val="en-US"/>
        </w:rPr>
        <w:t>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arctica</w:t>
      </w:r>
      <w:r>
        <w:rPr>
          <w:rFonts w:ascii="Times New Roman" w:hAnsi="Times New Roman" w:cs="Times New Roman"/>
          <w:sz w:val="24"/>
          <w:szCs w:val="24"/>
        </w:rPr>
        <w:t xml:space="preserve"> в позднеледниковых отложениях диатомовые ассоциации характеризуются как морские холодноводные с большим количеством арктических видов.</w:t>
      </w:r>
    </w:p>
    <w:p w14:paraId="283E0A2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Дальнейшее понижение относительного уровня моря, вызванное быстрым гляциоизостатическим поднятием территории, запечатлено в донных осадках озера </w:t>
      </w:r>
      <w:r>
        <w:rPr>
          <w:rFonts w:ascii="Times New Roman" w:hAnsi="Times New Roman" w:cs="Times New Roman"/>
          <w:sz w:val="24"/>
          <w:szCs w:val="24"/>
          <w:lang w:val="en-US"/>
        </w:rPr>
        <w:t>D</w:t>
      </w:r>
      <w:r>
        <w:rPr>
          <w:rFonts w:ascii="Times New Roman" w:hAnsi="Times New Roman" w:cs="Times New Roman"/>
          <w:sz w:val="24"/>
          <w:szCs w:val="24"/>
        </w:rPr>
        <w:t>. Состав диатомей в алевритистых глинах в основании разреза соответствует осадконакоплению на литорали морского бассейна. В кровле слоя отмечаются признаки начала изоляции: ослабление гидродинамического режима и массовое развитие мелкоклеточных видов семейства Fragilariaceae (</w:t>
      </w:r>
      <w:r>
        <w:rPr>
          <w:rFonts w:ascii="Times New Roman" w:hAnsi="Times New Roman"/>
          <w:sz w:val="24"/>
          <w:szCs w:val="24"/>
          <w:highlight w:val="yellow"/>
          <w:lang w:val="en-US"/>
        </w:rPr>
        <w:t>Busse</w:t>
      </w:r>
      <w:r>
        <w:rPr>
          <w:rFonts w:ascii="Times New Roman" w:hAnsi="Times New Roman"/>
          <w:sz w:val="24"/>
          <w:szCs w:val="24"/>
          <w:highlight w:val="yellow"/>
        </w:rPr>
        <w:t xml:space="preserve">, </w:t>
      </w:r>
      <w:r>
        <w:rPr>
          <w:rFonts w:ascii="Times New Roman" w:hAnsi="Times New Roman"/>
          <w:sz w:val="24"/>
          <w:szCs w:val="24"/>
          <w:highlight w:val="yellow"/>
          <w:lang w:val="en-US"/>
        </w:rPr>
        <w:t>Snoeijs</w:t>
      </w:r>
      <w:r>
        <w:rPr>
          <w:rFonts w:ascii="Times New Roman" w:hAnsi="Times New Roman"/>
          <w:sz w:val="24"/>
          <w:szCs w:val="24"/>
          <w:highlight w:val="yellow"/>
        </w:rPr>
        <w:t>, 2003</w:t>
      </w:r>
      <w:r>
        <w:rPr>
          <w:rFonts w:ascii="Times New Roman" w:hAnsi="Times New Roman" w:cs="Times New Roman"/>
          <w:sz w:val="24"/>
          <w:szCs w:val="24"/>
        </w:rPr>
        <w:t>). На следующем этапе водоем представлял собой соленое меромиктическое озеро (</w:t>
      </w:r>
      <w:r>
        <w:rPr>
          <w:rFonts w:ascii="Times New Roman" w:hAnsi="Times New Roman" w:cs="Times New Roman"/>
          <w:sz w:val="24"/>
          <w:szCs w:val="24"/>
          <w:highlight w:val="yellow"/>
        </w:rPr>
        <w:t>Рис. Х9, д</w:t>
      </w:r>
      <w:r>
        <w:rPr>
          <w:rFonts w:ascii="Times New Roman" w:hAnsi="Times New Roman" w:cs="Times New Roman"/>
          <w:sz w:val="24"/>
          <w:szCs w:val="24"/>
        </w:rPr>
        <w:t>), т.е. высота порога стока располагалась на отметках между высотой сизигийного прилива и максимальной высотой штормовых заплесков (</w:t>
      </w:r>
      <w:r>
        <w:rPr>
          <w:rFonts w:ascii="Times New Roman" w:hAnsi="Times New Roman" w:cs="Times New Roman"/>
          <w:sz w:val="24"/>
          <w:szCs w:val="24"/>
          <w:highlight w:val="yellow"/>
          <w:lang w:val="en-US"/>
        </w:rPr>
        <w:t>Repkina</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et</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US"/>
        </w:rPr>
        <w:t>al</w:t>
      </w:r>
      <w:r>
        <w:rPr>
          <w:rFonts w:ascii="Times New Roman" w:hAnsi="Times New Roman" w:cs="Times New Roman"/>
          <w:sz w:val="24"/>
          <w:szCs w:val="24"/>
          <w:highlight w:val="yellow"/>
        </w:rPr>
        <w:t>., 2023 - Кисло-Сладкое</w:t>
      </w:r>
      <w:r>
        <w:rPr>
          <w:rFonts w:ascii="Times New Roman" w:hAnsi="Times New Roman" w:cs="Times New Roman"/>
          <w:sz w:val="24"/>
          <w:szCs w:val="24"/>
        </w:rPr>
        <w:t>). Об этом свидетельствуют смешанный состав диатомовых ассоциаций и высокие концентрации цист золотистых водорослей (</w:t>
      </w:r>
      <w:r>
        <w:rPr>
          <w:rFonts w:ascii="Times New Roman" w:hAnsi="Times New Roman" w:cs="Times New Roman"/>
          <w:sz w:val="24"/>
          <w:szCs w:val="24"/>
          <w:highlight w:val="yellow"/>
        </w:rPr>
        <w:t>Шилова, 2025</w:t>
      </w:r>
      <w:r>
        <w:rPr>
          <w:rFonts w:ascii="Times New Roman" w:hAnsi="Times New Roman" w:cs="Times New Roman"/>
          <w:sz w:val="24"/>
          <w:szCs w:val="24"/>
        </w:rPr>
        <w:t xml:space="preserve">). Выше по разрезу связь с морем утратилась, видовой состав диатомей отражает осадконакопление в небольшом пресном слабо ацидофильном водоеме. </w:t>
      </w:r>
    </w:p>
    <w:p w14:paraId="4E42B637">
      <w:pPr>
        <w:spacing w:after="0" w:line="360" w:lineRule="auto"/>
        <w:ind w:firstLine="709"/>
        <w:jc w:val="center"/>
        <w:rPr>
          <w:rFonts w:ascii="Times New Roman" w:hAnsi="Times New Roman" w:cs="Times New Roman"/>
          <w:sz w:val="24"/>
          <w:szCs w:val="24"/>
        </w:rPr>
      </w:pPr>
      <w:commentRangeStart w:id="22"/>
      <w:r>
        <w:rPr>
          <w:rFonts w:ascii="Times New Roman" w:hAnsi="Times New Roman" w:cs="Times New Roman"/>
          <w:sz w:val="24"/>
          <w:szCs w:val="24"/>
        </w:rPr>
        <w:t>ВЫВОДЫ</w:t>
      </w:r>
      <w:commentRangeEnd w:id="22"/>
      <w:r>
        <w:rPr>
          <w:rStyle w:val="5"/>
          <w:rFonts w:ascii="Times New Roman" w:hAnsi="Times New Roman" w:cs="Times New Roman"/>
          <w:sz w:val="24"/>
          <w:szCs w:val="24"/>
        </w:rPr>
        <w:commentReference w:id="22"/>
      </w:r>
    </w:p>
    <w:p w14:paraId="545C6F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облик рельефа Колвицкой ложбины как части Кандалакшского берега Белого моря сформировался под воздействием ледникового и прибрежно-морского морфолитогенеза. В период с 14.1 до 13.9 происходило формирование параллельно-грядового рельефа ребристых морен. Последующая активная деградация оледенения до 13.0–13.5 тыс. л.н. привела к формированию систем радиальных озов Вересельга, Тикша и, позже, Колвицкого оза с флювиогляциальными дельтами на их окончании. К периоду 12.5–12.9 в ложбине были образованы озовые гряды и флювиогляциальные дельты на ее периферии, которые впоследствии, около 12.0–12.5 тыс л.н. частично снивелировались морскими террасовидными образованиями, а гляциокарстовые котловины заполнились осадками бывших морских заливов. Максимальный уровень позднеледниковой трансгрессии  оценивается нами по подошве морских осадков в расчистке А карьера в 75–76 м над современным уровнем моря. Это хорошо соотносится с данными по западному берегу Колвицкого озера (</w:t>
      </w:r>
      <w:r>
        <w:rPr>
          <w:rFonts w:ascii="Times New Roman" w:hAnsi="Times New Roman" w:cs="Times New Roman"/>
          <w:sz w:val="24"/>
          <w:szCs w:val="24"/>
          <w:highlight w:val="yellow"/>
        </w:rPr>
        <w:t>ссылка 8</w:t>
      </w:r>
      <w:r>
        <w:rPr>
          <w:rFonts w:ascii="Times New Roman" w:hAnsi="Times New Roman" w:cs="Times New Roman"/>
          <w:sz w:val="24"/>
          <w:szCs w:val="24"/>
        </w:rPr>
        <w:t>) и по расположенному уже на Терском берегу приустьевому участку р. Варзуги с максимальным уровнем в 54–55 м (</w:t>
      </w:r>
      <w:r>
        <w:rPr>
          <w:rFonts w:ascii="Times New Roman" w:hAnsi="Times New Roman" w:cs="Times New Roman"/>
          <w:sz w:val="24"/>
          <w:szCs w:val="24"/>
          <w:highlight w:val="yellow"/>
        </w:rPr>
        <w:t>ссылка 29</w:t>
      </w:r>
      <w:r>
        <w:rPr>
          <w:rFonts w:ascii="Times New Roman" w:hAnsi="Times New Roman" w:cs="Times New Roman"/>
          <w:sz w:val="24"/>
          <w:szCs w:val="24"/>
        </w:rPr>
        <w:t xml:space="preserve">). </w:t>
      </w:r>
      <w:commentRangeStart w:id="23"/>
      <w:r>
        <w:rPr>
          <w:rFonts w:ascii="Times New Roman" w:hAnsi="Times New Roman" w:cs="Times New Roman"/>
          <w:sz w:val="24"/>
          <w:szCs w:val="24"/>
        </w:rPr>
        <w:t>Однако в таком распределении высот нельзя исключать и тектонический фактор</w:t>
      </w:r>
      <w:commentRangeEnd w:id="23"/>
      <w:r>
        <w:rPr>
          <w:rStyle w:val="5"/>
          <w:rFonts w:ascii="Times New Roman" w:hAnsi="Times New Roman" w:cs="Times New Roman"/>
          <w:sz w:val="24"/>
          <w:szCs w:val="24"/>
        </w:rPr>
        <w:commentReference w:id="23"/>
      </w:r>
      <w:r>
        <w:rPr>
          <w:rFonts w:ascii="Times New Roman" w:hAnsi="Times New Roman" w:cs="Times New Roman"/>
          <w:sz w:val="24"/>
          <w:szCs w:val="24"/>
        </w:rPr>
        <w:t xml:space="preserve"> (</w:t>
      </w:r>
      <w:r>
        <w:rPr>
          <w:rFonts w:ascii="Times New Roman" w:hAnsi="Times New Roman" w:cs="Times New Roman"/>
          <w:sz w:val="24"/>
          <w:szCs w:val="24"/>
          <w:highlight w:val="yellow"/>
        </w:rPr>
        <w:t>ссылка 2</w:t>
      </w:r>
      <w:r>
        <w:rPr>
          <w:rFonts w:ascii="Times New Roman" w:hAnsi="Times New Roman" w:cs="Times New Roman"/>
          <w:sz w:val="24"/>
          <w:szCs w:val="24"/>
        </w:rPr>
        <w:t>9). Регрессия моря и переход к континентальным условиям маркируется формированием мидиевой банки около 9.5 тысяч лет назад.</w:t>
      </w:r>
    </w:p>
    <w:p w14:paraId="54CC2B44">
      <w:pPr>
        <w:spacing w:after="0" w:line="360" w:lineRule="auto"/>
        <w:ind w:firstLine="709"/>
        <w:jc w:val="both"/>
        <w:rPr>
          <w:rFonts w:ascii="Times New Roman" w:hAnsi="Times New Roman" w:cs="Times New Roman"/>
          <w:sz w:val="24"/>
          <w:szCs w:val="24"/>
        </w:rPr>
      </w:pPr>
    </w:p>
    <w:p w14:paraId="100E5DE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БЛАГОДАРНОСТИ</w:t>
      </w:r>
    </w:p>
    <w:p w14:paraId="14ABD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Исследования были выполнены благодаря финансовой поддержке Российского Научного Фонда, грант 22-17-00081 (полевые исследования, оптико-люминесцентное датирование). Литостратиграфическое расчленение осадков и радиоуглеродное датирование выполнялись в рамках ГЗ ИГ РАН </w:t>
      </w:r>
      <w:r>
        <w:rPr>
          <w:rFonts w:ascii="Times New Roman" w:hAnsi="Times New Roman" w:cs="Times New Roman"/>
          <w:sz w:val="24"/>
          <w:szCs w:val="24"/>
          <w:lang w:val="en-US"/>
        </w:rPr>
        <w:t>FMWS</w:t>
      </w:r>
      <w:r>
        <w:rPr>
          <w:rFonts w:ascii="Times New Roman" w:hAnsi="Times New Roman" w:cs="Times New Roman"/>
          <w:sz w:val="24"/>
          <w:szCs w:val="24"/>
        </w:rPr>
        <w:t xml:space="preserve">-2024-0003. Исследования отложений ледникового парагенетического ряда проводилось в рамках ГЗ ГИ КНЦ РАН </w:t>
      </w:r>
      <w:r>
        <w:rPr>
          <w:rFonts w:ascii="Times New Roman" w:hAnsi="Times New Roman" w:cs="Times New Roman"/>
          <w:sz w:val="24"/>
          <w:szCs w:val="24"/>
          <w:lang w:val="en-US"/>
        </w:rPr>
        <w:t>FMEZ</w:t>
      </w:r>
      <w:r>
        <w:rPr>
          <w:rFonts w:ascii="Times New Roman" w:hAnsi="Times New Roman" w:cs="Times New Roman"/>
          <w:sz w:val="24"/>
          <w:szCs w:val="24"/>
        </w:rPr>
        <w:t>-2024-0007. Диатомовый анализ проводился</w:t>
      </w:r>
      <w:r>
        <w:t xml:space="preserve"> </w:t>
      </w:r>
      <w:r>
        <w:rPr>
          <w:rFonts w:ascii="Times New Roman" w:hAnsi="Times New Roman" w:cs="Times New Roman"/>
          <w:sz w:val="24"/>
          <w:szCs w:val="24"/>
        </w:rPr>
        <w:t xml:space="preserve">в рамках ГЗ НИЛ геоэкологии Севера географического факультета МГУ имени М.В.Ломоносова (№ 121051100167-1). ЦМР создана в рамках ГЗ кафедры геоморфологии и палеогеографии Географического факультета МГУ имени М.В. Ломоносова (№121040100323-5). Полевые исследования фоссилий были проведены при поддержке ФГБУ «Канадалакшский государственный заповедник», предоставившего базу для первичной обработки сборов. </w:t>
      </w:r>
      <w:r>
        <w:rPr>
          <w:rFonts w:ascii="Times New Roman" w:hAnsi="Times New Roman" w:eastAsia="Times New Roman" w:cs="Times New Roman"/>
          <w:color w:val="000000"/>
          <w:sz w:val="24"/>
          <w:szCs w:val="24"/>
          <w:lang w:eastAsia="ru-RU"/>
        </w:rPr>
        <w:t xml:space="preserve">Радиоуглеродное датирование раковин выполнялось в рамках Госзадания ГИН РАН </w:t>
      </w:r>
      <w:r>
        <w:rPr>
          <w:rFonts w:ascii="Times New Roman" w:hAnsi="Times New Roman" w:cs="Times New Roman"/>
          <w:sz w:val="24"/>
          <w:szCs w:val="24"/>
        </w:rPr>
        <w:t>FMMG-2022-0002.</w:t>
      </w:r>
    </w:p>
    <w:p w14:paraId="7B1F649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Авторы признательны Д.В. Баранову (ИГ РАН), О.П. Корсаковой и Д.С. Толстоброву (ГИ КНЦ РАН), В.Г. Вану и М.А. Писцовой (Географический ф-т МГУ), принявших участие в полевых работах, а также Т.Ю. Репкиной (ИГ РАН), частично организовавшей процесс аналитических исследований.</w:t>
      </w:r>
    </w:p>
    <w:p w14:paraId="14451B5E">
      <w:pPr>
        <w:spacing w:after="0" w:line="360" w:lineRule="auto"/>
        <w:ind w:firstLine="709"/>
        <w:jc w:val="both"/>
        <w:rPr>
          <w:rFonts w:ascii="Times New Roman" w:hAnsi="Times New Roman" w:cs="Times New Roman"/>
          <w:sz w:val="24"/>
          <w:szCs w:val="24"/>
        </w:rPr>
      </w:pPr>
    </w:p>
    <w:p w14:paraId="6B1973F7">
      <w:pPr>
        <w:spacing w:after="0" w:line="360" w:lineRule="auto"/>
        <w:ind w:firstLine="709"/>
        <w:jc w:val="center"/>
        <w:rPr>
          <w:rFonts w:ascii="Times New Roman" w:hAnsi="Times New Roman" w:cs="Times New Roman"/>
          <w:sz w:val="24"/>
          <w:szCs w:val="24"/>
          <w:lang w:val="en-GB"/>
        </w:rPr>
      </w:pPr>
      <w:r>
        <w:rPr>
          <w:rFonts w:ascii="Times New Roman" w:hAnsi="Times New Roman" w:cs="Times New Roman"/>
          <w:sz w:val="24"/>
          <w:szCs w:val="24"/>
          <w:lang w:val="en-GB"/>
        </w:rPr>
        <w:t>REFERENCES</w:t>
      </w:r>
    </w:p>
    <w:p w14:paraId="559BDE0A">
      <w:pPr>
        <w:spacing w:after="0" w:line="360" w:lineRule="auto"/>
        <w:ind w:firstLine="709"/>
        <w:jc w:val="both"/>
        <w:rPr>
          <w:rFonts w:ascii="Times New Roman" w:hAnsi="Times New Roman"/>
          <w:sz w:val="24"/>
          <w:szCs w:val="24"/>
          <w:lang w:val="en-US"/>
        </w:rPr>
      </w:pPr>
      <w:bookmarkStart w:id="0" w:name="_Hlk213689523"/>
      <w:r>
        <w:rPr>
          <w:rFonts w:ascii="Times New Roman" w:hAnsi="Times New Roman"/>
          <w:sz w:val="24"/>
          <w:szCs w:val="24"/>
          <w:lang w:val="en-US"/>
        </w:rPr>
        <w:t>1. Ekman, I., Iljin, V. Deglaciations the Younger Dryas End Moraines and their Correlation in Karelian A.S.S.R. and adjacent Areas. In: Eastern Fennoscandian Younger Dryas End Moraines. Eds. Rainio H., Saarnisto M. Guide 32. 1991. P. 73–99.</w:t>
      </w:r>
    </w:p>
    <w:p w14:paraId="532CF99A">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 Yevzerov, V.Ya., Nikolaeva, S.B. Marginal glacial formations of Kola region, north-west Russia</w:t>
      </w:r>
      <w:r>
        <w:rPr>
          <w:rFonts w:ascii="Times New Roman" w:hAnsi="Times New Roman" w:cs="Times New Roman"/>
          <w:i/>
          <w:sz w:val="24"/>
          <w:szCs w:val="24"/>
          <w:lang w:val="en-US"/>
        </w:rPr>
        <w:t>. Geomorphologiya</w:t>
      </w:r>
      <w:r>
        <w:rPr>
          <w:rFonts w:ascii="Times New Roman" w:hAnsi="Times New Roman" w:cs="Times New Roman"/>
          <w:sz w:val="24"/>
          <w:szCs w:val="24"/>
          <w:lang w:val="en-US"/>
        </w:rPr>
        <w:t>, 2000, No. 1, p. 61–73 (in Russ.).</w:t>
      </w:r>
    </w:p>
    <w:p w14:paraId="74AC68BD">
      <w:pPr>
        <w:pStyle w:val="2"/>
        <w:spacing w:before="0" w:beforeAutospacing="0" w:after="0" w:afterAutospacing="0" w:line="360" w:lineRule="auto"/>
        <w:ind w:firstLine="709"/>
        <w:jc w:val="both"/>
        <w:rPr>
          <w:b w:val="0"/>
          <w:sz w:val="24"/>
          <w:szCs w:val="24"/>
          <w:lang w:val="en-US"/>
        </w:rPr>
      </w:pPr>
      <w:r>
        <w:rPr>
          <w:b w:val="0"/>
          <w:sz w:val="24"/>
          <w:szCs w:val="24"/>
          <w:lang w:val="en-US"/>
        </w:rPr>
        <w:t>3. Kolka V., Korsakova O., Nikolaeva S., Evzerov V. The Late Pleistocene interglacial, late Glacial landforms and Holocene neotectonics of the Kola Peninsula. ICG excursion. No. 34. August 14–23. Apatity, 2008. 72 p.</w:t>
      </w:r>
    </w:p>
    <w:p w14:paraId="11FF4996">
      <w:pPr>
        <w:tabs>
          <w:tab w:val="left" w:pos="2977"/>
        </w:tabs>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Boyes, B.M., Pearce, D.M., Linch, L.D. Glacial geomorphology of the Kola Peninsula and Russian Lapland. </w:t>
      </w:r>
      <w:r>
        <w:rPr>
          <w:rFonts w:ascii="Times New Roman" w:hAnsi="Times New Roman" w:cs="Times New Roman"/>
          <w:i/>
          <w:sz w:val="24"/>
          <w:szCs w:val="24"/>
          <w:lang w:val="en-US"/>
        </w:rPr>
        <w:t>Journal of Maps</w:t>
      </w:r>
      <w:r>
        <w:rPr>
          <w:rFonts w:ascii="Times New Roman" w:hAnsi="Times New Roman" w:cs="Times New Roman"/>
          <w:sz w:val="24"/>
          <w:szCs w:val="24"/>
          <w:lang w:val="en-US"/>
        </w:rPr>
        <w:t>, 2021, Vol. 17:2, p. 497–515. https://doi.org/10.1080/17445647.2021.1970036 </w:t>
      </w:r>
    </w:p>
    <w:p w14:paraId="3B5143B4">
      <w:pPr>
        <w:spacing w:after="0" w:line="360" w:lineRule="auto"/>
        <w:ind w:firstLine="709"/>
        <w:jc w:val="both"/>
        <w:rPr>
          <w:rFonts w:ascii="Times New Roman" w:hAnsi="Times New Roman" w:cs="Times New Roman"/>
          <w:sz w:val="24"/>
          <w:szCs w:val="24"/>
          <w:lang w:val="en-GB"/>
        </w:rPr>
      </w:pPr>
      <w:r>
        <w:rPr>
          <w:rFonts w:ascii="Times New Roman" w:hAnsi="Times New Roman" w:cs="Times New Roman"/>
          <w:sz w:val="24"/>
          <w:szCs w:val="24"/>
          <w:lang w:val="en-US"/>
        </w:rPr>
        <w:t xml:space="preserve">5. </w:t>
      </w:r>
      <w:r>
        <w:rPr>
          <w:rFonts w:ascii="Times New Roman" w:hAnsi="Times New Roman" w:cs="Times New Roman"/>
          <w:color w:val="000000"/>
          <w:sz w:val="24"/>
          <w:szCs w:val="24"/>
          <w:lang w:val="en-GB"/>
        </w:rPr>
        <w:t>Korsakova O., Tolstobrov D., Nikolaeva S., Kolka V., Tolstobrova A. Lake Imandra depression in the Late Glacial and early Holocene (Kola Peninsula, north-western Russia)</w:t>
      </w:r>
      <w:r>
        <w:rPr>
          <w:rFonts w:ascii="Times New Roman" w:hAnsi="Times New Roman" w:cs="Times New Roman"/>
          <w:color w:val="000000"/>
          <w:sz w:val="24"/>
          <w:szCs w:val="24"/>
          <w:lang w:val="en-US"/>
        </w:rPr>
        <w:t xml:space="preserve">. </w:t>
      </w:r>
      <w:r>
        <w:rPr>
          <w:rFonts w:ascii="Times New Roman" w:hAnsi="Times New Roman" w:cs="Times New Roman"/>
          <w:i/>
          <w:color w:val="000000"/>
          <w:sz w:val="24"/>
          <w:szCs w:val="24"/>
          <w:lang w:val="en-GB"/>
        </w:rPr>
        <w:t>Baltica</w:t>
      </w:r>
      <w:r>
        <w:rPr>
          <w:rFonts w:ascii="Times New Roman" w:hAnsi="Times New Roman" w:cs="Times New Roman"/>
          <w:color w:val="000000"/>
          <w:sz w:val="24"/>
          <w:szCs w:val="24"/>
          <w:lang w:val="en-GB"/>
        </w:rPr>
        <w:t xml:space="preserve">, 2020, Vol. 3(2), p. 177–190. </w:t>
      </w:r>
      <w:r>
        <w:rPr>
          <w:rFonts w:ascii="Times New Roman" w:hAnsi="Times New Roman" w:cs="Times New Roman"/>
          <w:sz w:val="24"/>
          <w:szCs w:val="24"/>
          <w:lang w:val="en-US"/>
        </w:rPr>
        <w:t>https://doi.org/</w:t>
      </w:r>
      <w:r>
        <w:rPr>
          <w:rFonts w:ascii="Times New Roman" w:hAnsi="Times New Roman" w:cs="Times New Roman"/>
          <w:color w:val="000000"/>
          <w:sz w:val="24"/>
          <w:szCs w:val="24"/>
          <w:lang w:val="en-GB"/>
        </w:rPr>
        <w:t>10.5200/baltica.2020.2.5</w:t>
      </w:r>
    </w:p>
    <w:p w14:paraId="03C13417">
      <w:pPr>
        <w:spacing w:after="0" w:line="360" w:lineRule="auto"/>
        <w:ind w:firstLine="709"/>
        <w:jc w:val="both"/>
        <w:rPr>
          <w:rFonts w:ascii="Times New Roman" w:hAnsi="Times New Roman" w:eastAsia="AdvOT863180fb" w:cs="Times New Roman"/>
          <w:sz w:val="24"/>
          <w:szCs w:val="24"/>
          <w:lang w:val="be-BY"/>
        </w:rPr>
      </w:pPr>
      <w:r>
        <w:rPr>
          <w:rFonts w:ascii="Times New Roman" w:hAnsi="Times New Roman" w:eastAsia="AdvOT863180fb" w:cs="Times New Roman"/>
          <w:sz w:val="24"/>
          <w:szCs w:val="24"/>
          <w:lang w:val="en-GB"/>
        </w:rPr>
        <w:t xml:space="preserve">6. Lenz M., Savelieva L., FrolovaL., Cherezova A., Moros M., Baumer M.M., Gromig R., Kostromina N., Nigmatullin N., Kolka V., Wagner B., Fedorov G., Melles M. Lateglacial and Holocene environment history of the central Kola region, northwestern Russia revealed by sediment succession from Lake Imandra. </w:t>
      </w:r>
      <w:r>
        <w:rPr>
          <w:rFonts w:ascii="Times New Roman" w:hAnsi="Times New Roman" w:eastAsia="AdvOT863180fb" w:cs="Times New Roman"/>
          <w:i/>
          <w:sz w:val="24"/>
          <w:szCs w:val="24"/>
          <w:lang w:val="en-GB"/>
        </w:rPr>
        <w:t>Boreas</w:t>
      </w:r>
      <w:r>
        <w:rPr>
          <w:rFonts w:ascii="Times New Roman" w:hAnsi="Times New Roman" w:eastAsia="AdvOT863180fb" w:cs="Times New Roman"/>
          <w:sz w:val="24"/>
          <w:szCs w:val="24"/>
          <w:lang w:val="en-US"/>
        </w:rPr>
        <w:t>, 2020,</w:t>
      </w:r>
      <w:r>
        <w:rPr>
          <w:rFonts w:ascii="Times New Roman" w:hAnsi="Times New Roman" w:eastAsia="AdvOT863180fb" w:cs="Times New Roman"/>
          <w:sz w:val="24"/>
          <w:szCs w:val="24"/>
          <w:lang w:val="be-BY"/>
        </w:rPr>
        <w:t xml:space="preserve"> </w:t>
      </w:r>
      <w:r>
        <w:rPr>
          <w:rFonts w:ascii="Times New Roman" w:hAnsi="Times New Roman" w:eastAsia="AdvOT863180fb" w:cs="Times New Roman"/>
          <w:sz w:val="24"/>
          <w:szCs w:val="24"/>
          <w:lang w:val="en-US"/>
        </w:rPr>
        <w:t>vol</w:t>
      </w:r>
      <w:r>
        <w:rPr>
          <w:rFonts w:ascii="Times New Roman" w:hAnsi="Times New Roman" w:eastAsia="AdvOT863180fb" w:cs="Times New Roman"/>
          <w:sz w:val="24"/>
          <w:szCs w:val="24"/>
          <w:lang w:val="be-BY"/>
        </w:rPr>
        <w:t>. 50(1)</w:t>
      </w:r>
      <w:r>
        <w:rPr>
          <w:rFonts w:ascii="Times New Roman" w:hAnsi="Times New Roman" w:eastAsia="AdvOT863180fb" w:cs="Times New Roman"/>
          <w:sz w:val="24"/>
          <w:szCs w:val="24"/>
          <w:lang w:val="en-US"/>
        </w:rPr>
        <w:t>,</w:t>
      </w:r>
      <w:r>
        <w:rPr>
          <w:rFonts w:ascii="Times New Roman" w:hAnsi="Times New Roman" w:eastAsia="AdvOT863180fb" w:cs="Times New Roman"/>
          <w:sz w:val="24"/>
          <w:szCs w:val="24"/>
          <w:lang w:val="be-BY"/>
        </w:rPr>
        <w:t xml:space="preserve"> </w:t>
      </w:r>
      <w:r>
        <w:rPr>
          <w:rFonts w:ascii="Times New Roman" w:hAnsi="Times New Roman" w:eastAsia="AdvOT863180fb" w:cs="Times New Roman"/>
          <w:sz w:val="24"/>
          <w:szCs w:val="24"/>
          <w:lang w:val="en-US"/>
        </w:rPr>
        <w:t>p</w:t>
      </w:r>
      <w:r>
        <w:rPr>
          <w:rFonts w:ascii="Times New Roman" w:hAnsi="Times New Roman" w:eastAsia="AdvOT863180fb" w:cs="Times New Roman"/>
          <w:sz w:val="24"/>
          <w:szCs w:val="24"/>
          <w:lang w:val="be-BY"/>
        </w:rPr>
        <w:t xml:space="preserve">. 76–100. </w:t>
      </w:r>
      <w:r>
        <w:rPr>
          <w:rFonts w:ascii="Times New Roman" w:hAnsi="Times New Roman" w:cs="Times New Roman"/>
          <w:sz w:val="24"/>
          <w:szCs w:val="24"/>
          <w:lang w:val="en-US"/>
        </w:rPr>
        <w:t>https://doi.org/</w:t>
      </w:r>
      <w:r>
        <w:rPr>
          <w:rFonts w:ascii="Times New Roman" w:hAnsi="Times New Roman" w:eastAsia="AdvOT863180fb" w:cs="Times New Roman"/>
          <w:sz w:val="24"/>
          <w:szCs w:val="24"/>
          <w:lang w:val="be-BY"/>
        </w:rPr>
        <w:t>10.1111/</w:t>
      </w:r>
      <w:r>
        <w:rPr>
          <w:rFonts w:ascii="Times New Roman" w:hAnsi="Times New Roman" w:eastAsia="AdvOT863180fb" w:cs="Times New Roman"/>
          <w:sz w:val="24"/>
          <w:szCs w:val="24"/>
          <w:lang w:val="en-GB"/>
        </w:rPr>
        <w:t>bor</w:t>
      </w:r>
      <w:r>
        <w:rPr>
          <w:rFonts w:ascii="Times New Roman" w:hAnsi="Times New Roman" w:eastAsia="AdvOT863180fb" w:cs="Times New Roman"/>
          <w:sz w:val="24"/>
          <w:szCs w:val="24"/>
          <w:lang w:val="be-BY"/>
        </w:rPr>
        <w:t>.12465.</w:t>
      </w:r>
    </w:p>
    <w:p w14:paraId="68120819">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Korsakova O., Vashkov A., Nosova O. European Russia: glacial landforms from the Bølling_Allerød Interstadial. In: European Glacial Landscapes. The Last Deglaciation.  Palacios D., Hughes P.D., Garcia-Ruiz J.M., Andres N. (eds.). Elsevier (Publ.), 2023. P. 305–310. </w:t>
      </w:r>
      <w:r>
        <w:fldChar w:fldCharType="begin"/>
      </w:r>
      <w:r>
        <w:instrText xml:space="preserve"> HYPERLINK "https://doi.org/10.1016/B978-0-323-91899-2.00014-0" </w:instrText>
      </w:r>
      <w:r>
        <w:fldChar w:fldCharType="separate"/>
      </w:r>
      <w:r>
        <w:rPr>
          <w:rFonts w:ascii="Times New Roman" w:hAnsi="Times New Roman" w:cs="Times New Roman"/>
          <w:sz w:val="24"/>
          <w:szCs w:val="24"/>
          <w:lang w:val="en-US"/>
        </w:rPr>
        <w:t xml:space="preserve"> </w:t>
      </w:r>
      <w:r>
        <w:rPr>
          <w:rStyle w:val="7"/>
          <w:rFonts w:ascii="Times New Roman" w:hAnsi="Times New Roman" w:cs="Times New Roman"/>
          <w:sz w:val="24"/>
          <w:szCs w:val="24"/>
          <w:lang w:val="en-US"/>
        </w:rPr>
        <w:t>https://doi.org/10.1016/B978-0-323-91899-2.00014-0</w:t>
      </w:r>
      <w:r>
        <w:rPr>
          <w:rStyle w:val="7"/>
          <w:rFonts w:ascii="Times New Roman" w:hAnsi="Times New Roman" w:cs="Times New Roman"/>
          <w:sz w:val="24"/>
          <w:szCs w:val="24"/>
          <w:lang w:val="en-US"/>
        </w:rPr>
        <w:fldChar w:fldCharType="end"/>
      </w:r>
    </w:p>
    <w:p w14:paraId="0E380A71">
      <w:pPr>
        <w:pStyle w:val="2"/>
        <w:spacing w:before="0" w:beforeAutospacing="0" w:after="0" w:afterAutospacing="0" w:line="360" w:lineRule="auto"/>
        <w:ind w:firstLine="709"/>
        <w:jc w:val="both"/>
        <w:rPr>
          <w:b w:val="0"/>
          <w:sz w:val="24"/>
          <w:szCs w:val="24"/>
          <w:lang w:val="en-US"/>
        </w:rPr>
      </w:pPr>
      <w:r>
        <w:rPr>
          <w:b w:val="0"/>
          <w:sz w:val="24"/>
          <w:szCs w:val="24"/>
          <w:lang w:val="en-US"/>
        </w:rPr>
        <w:t xml:space="preserve">8. Ludikova A.V., Grekov I.M. Preliminary results of diatom analysis of the Antiukh-Lambina lake deposits (south of the Kola Peninsula). Geography of Arctic regions, 2017, p. 33-36. </w:t>
      </w:r>
    </w:p>
    <w:p w14:paraId="594A57D0">
      <w:pPr>
        <w:spacing w:after="0" w:line="360" w:lineRule="auto"/>
        <w:ind w:firstLine="709"/>
        <w:jc w:val="both"/>
        <w:rPr>
          <w:rFonts w:ascii="Times New Roman" w:hAnsi="Times New Roman" w:cs="Times New Roman"/>
          <w:sz w:val="24"/>
          <w:szCs w:val="24"/>
          <w:lang w:val="en-US"/>
        </w:rPr>
      </w:pPr>
      <w:r>
        <w:rPr>
          <w:rStyle w:val="23"/>
          <w:rFonts w:ascii="Times New Roman" w:hAnsi="Times New Roman" w:cs="Times New Roman"/>
          <w:sz w:val="24"/>
          <w:szCs w:val="24"/>
          <w:lang w:val="en-US"/>
        </w:rPr>
        <w:t>9. The White Sea coast of the Kola Peninsula in the late postglacial period (based on the materials of the All-Russian conference and field symposium "Sea and lake basins of the eastern periphery of the Baltic Shield in the Quaternary", Apatity, September 10–15, 2024)/ Korsakova O. (Ed.), Apatity: KSC RAS Publ., 2025. 70 p.</w:t>
      </w:r>
    </w:p>
    <w:p w14:paraId="1F1A6EBB">
      <w:pPr>
        <w:pStyle w:val="2"/>
        <w:spacing w:before="0" w:beforeAutospacing="0" w:after="0" w:afterAutospacing="0" w:line="360" w:lineRule="auto"/>
        <w:ind w:firstLine="709"/>
        <w:jc w:val="both"/>
        <w:rPr>
          <w:b w:val="0"/>
          <w:sz w:val="24"/>
          <w:szCs w:val="24"/>
          <w:lang w:val="en-US"/>
        </w:rPr>
      </w:pPr>
      <w:r>
        <w:rPr>
          <w:b w:val="0"/>
          <w:sz w:val="24"/>
          <w:szCs w:val="24"/>
          <w:lang w:val="en-US"/>
        </w:rPr>
        <w:t>10. Aboltynš,</w:t>
      </w:r>
      <w:r>
        <w:rPr>
          <w:b w:val="0"/>
          <w:sz w:val="24"/>
          <w:szCs w:val="24"/>
          <w:lang w:val="be-BY"/>
        </w:rPr>
        <w:t xml:space="preserve"> </w:t>
      </w:r>
      <w:r>
        <w:rPr>
          <w:b w:val="0"/>
          <w:sz w:val="24"/>
          <w:szCs w:val="24"/>
          <w:lang w:val="en-US"/>
        </w:rPr>
        <w:t>O</w:t>
      </w:r>
      <w:r>
        <w:rPr>
          <w:b w:val="0"/>
          <w:sz w:val="24"/>
          <w:szCs w:val="24"/>
          <w:lang w:val="be-BY"/>
        </w:rPr>
        <w:t>.</w:t>
      </w:r>
      <w:r>
        <w:rPr>
          <w:b w:val="0"/>
          <w:sz w:val="24"/>
          <w:szCs w:val="24"/>
          <w:lang w:val="en-US"/>
        </w:rPr>
        <w:t>P. Glaciostructure and glacial morphogenesis. Riga: Zinatne (Publ.), 1989. 284 p.</w:t>
      </w:r>
      <w:r>
        <w:rPr>
          <w:b w:val="0"/>
          <w:sz w:val="24"/>
          <w:szCs w:val="24"/>
          <w:lang w:val="be-BY"/>
        </w:rPr>
        <w:t xml:space="preserve"> </w:t>
      </w:r>
      <w:r>
        <w:rPr>
          <w:b w:val="0"/>
          <w:sz w:val="24"/>
          <w:szCs w:val="24"/>
          <w:lang w:val="en-US"/>
        </w:rPr>
        <w:t>(in Russ.)</w:t>
      </w:r>
    </w:p>
    <w:p w14:paraId="56541D36">
      <w:pPr>
        <w:spacing w:after="0" w:line="360" w:lineRule="auto"/>
        <w:ind w:firstLine="709"/>
        <w:jc w:val="both"/>
        <w:rPr>
          <w:rFonts w:ascii="Times New Roman" w:hAnsi="Times New Roman" w:cs="Times New Roman"/>
          <w:b/>
          <w:sz w:val="24"/>
          <w:szCs w:val="24"/>
          <w:lang w:val="en-GB"/>
        </w:rPr>
      </w:pPr>
      <w:r>
        <w:rPr>
          <w:rFonts w:ascii="Times New Roman" w:hAnsi="Times New Roman" w:cs="Times New Roman"/>
          <w:sz w:val="24"/>
          <w:szCs w:val="24"/>
          <w:lang w:val="en-GB"/>
        </w:rPr>
        <w:t>11. Benn, D.I. Glacial landforms, sediments. Till fabric analysis</w:t>
      </w:r>
      <w:r>
        <w:rPr>
          <w:rFonts w:ascii="Times New Roman" w:hAnsi="Times New Roman" w:cs="Times New Roman"/>
          <w:sz w:val="24"/>
          <w:szCs w:val="24"/>
          <w:lang w:val="en-US"/>
        </w:rPr>
        <w:t>. In:</w:t>
      </w:r>
      <w:r>
        <w:rPr>
          <w:rFonts w:ascii="Times New Roman" w:hAnsi="Times New Roman" w:cs="Times New Roman"/>
          <w:sz w:val="24"/>
          <w:szCs w:val="24"/>
          <w:lang w:val="en-GB"/>
        </w:rPr>
        <w:t xml:space="preserve"> Encyclopedia of Quternary Science. </w:t>
      </w:r>
      <w:r>
        <w:rPr>
          <w:rFonts w:ascii="Times New Roman" w:hAnsi="Times New Roman" w:cs="Times New Roman"/>
          <w:sz w:val="24"/>
          <w:szCs w:val="24"/>
          <w:lang w:val="en-US"/>
        </w:rPr>
        <w:t>Glacial Landforms, Sediments.</w:t>
      </w:r>
      <w:r>
        <w:rPr>
          <w:rFonts w:ascii="Times New Roman" w:hAnsi="Times New Roman" w:cs="Times New Roman"/>
          <w:sz w:val="24"/>
          <w:szCs w:val="24"/>
          <w:lang w:val="be-BY"/>
        </w:rPr>
        <w:t xml:space="preserve"> 2</w:t>
      </w:r>
      <w:r>
        <w:rPr>
          <w:rFonts w:ascii="Times New Roman" w:hAnsi="Times New Roman" w:cs="Times New Roman"/>
          <w:sz w:val="24"/>
          <w:szCs w:val="24"/>
          <w:lang w:val="en-US"/>
        </w:rPr>
        <w:t>nd Ed</w:t>
      </w:r>
      <w:r>
        <w:rPr>
          <w:rFonts w:ascii="Times New Roman" w:hAnsi="Times New Roman" w:cs="Times New Roman"/>
          <w:iCs/>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Elsevier,</w:t>
      </w:r>
      <w:r>
        <w:rPr>
          <w:rFonts w:ascii="Times New Roman" w:hAnsi="Times New Roman" w:cs="Times New Roman"/>
          <w:sz w:val="24"/>
          <w:szCs w:val="24"/>
          <w:lang w:val="en-GB"/>
        </w:rPr>
        <w:t xml:space="preserve"> </w:t>
      </w:r>
      <w:r>
        <w:rPr>
          <w:rFonts w:ascii="Times New Roman" w:hAnsi="Times New Roman" w:cs="Times New Roman"/>
          <w:sz w:val="24"/>
          <w:szCs w:val="24"/>
          <w:lang w:val="en-US"/>
        </w:rPr>
        <w:t xml:space="preserve">2013. P. </w:t>
      </w:r>
      <w:r>
        <w:rPr>
          <w:rFonts w:ascii="Times New Roman" w:hAnsi="Times New Roman" w:cs="Times New Roman"/>
          <w:sz w:val="24"/>
          <w:szCs w:val="24"/>
          <w:lang w:val="en-GB"/>
        </w:rPr>
        <w:t xml:space="preserve">76–80. </w:t>
      </w:r>
    </w:p>
    <w:p w14:paraId="25BBFE35">
      <w:pPr>
        <w:spacing w:after="0" w:line="360" w:lineRule="auto"/>
        <w:ind w:firstLine="709"/>
        <w:jc w:val="both"/>
        <w:rPr>
          <w:rFonts w:ascii="Times New Roman" w:hAnsi="Times New Roman" w:eastAsia="AdvOT863180fb" w:cs="Times New Roman"/>
          <w:sz w:val="24"/>
          <w:szCs w:val="24"/>
          <w:lang w:val="en-US"/>
        </w:rPr>
      </w:pPr>
      <w:r>
        <w:rPr>
          <w:rFonts w:ascii="Times New Roman" w:hAnsi="Times New Roman" w:eastAsia="AdvOT863180fb" w:cs="Times New Roman"/>
          <w:sz w:val="24"/>
          <w:szCs w:val="24"/>
          <w:lang w:val="en-US"/>
        </w:rPr>
        <w:t xml:space="preserve">12. Porter, С., Morin, P., Howat, I., et al. ArcticDEM, Harvard Dataverse. 2018. V1. [Date Accessed: 09.02.2022]. </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https://doi.org/</w:t>
      </w:r>
      <w:r>
        <w:rPr>
          <w:rFonts w:ascii="Times New Roman" w:hAnsi="Times New Roman" w:eastAsia="AdvOT863180fb" w:cs="Times New Roman"/>
          <w:sz w:val="24"/>
          <w:szCs w:val="24"/>
          <w:lang w:val="en-US"/>
        </w:rPr>
        <w:t>10.7910/DVN/OHHUKH</w:t>
      </w:r>
    </w:p>
    <w:p w14:paraId="652D19E4">
      <w:pPr>
        <w:spacing w:after="0" w:line="360" w:lineRule="auto"/>
        <w:ind w:firstLine="709"/>
        <w:rPr>
          <w:rFonts w:ascii="Times New Roman" w:hAnsi="Times New Roman" w:cs="Times New Roman"/>
          <w:sz w:val="24"/>
          <w:szCs w:val="24"/>
          <w:lang w:val="en-GB"/>
        </w:rPr>
      </w:pPr>
      <w:r>
        <w:rPr>
          <w:rFonts w:ascii="Times New Roman" w:hAnsi="Times New Roman" w:cs="Times New Roman"/>
          <w:sz w:val="24"/>
          <w:szCs w:val="24"/>
          <w:lang w:val="en-GB"/>
        </w:rPr>
        <w:t>13. Provoost, P., Bosch, S. Robis: Ocean Biodiversity Information System (OBIS)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Client_. R package version 2.11.3, &lt;https://CRAN.R-project.org/package=robis&gt;, 2022.</w:t>
      </w:r>
    </w:p>
    <w:p w14:paraId="29A1ECDB">
      <w:pPr>
        <w:autoSpaceDE w:val="0"/>
        <w:autoSpaceDN w:val="0"/>
        <w:spacing w:after="0" w:line="360" w:lineRule="auto"/>
        <w:ind w:firstLine="709"/>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eastAsia="ru-RU"/>
        </w:rPr>
        <w:t xml:space="preserve">14. Wintle, A.G. Luminescence dating: laboratory procedures and protocols // </w:t>
      </w:r>
      <w:r>
        <w:rPr>
          <w:rFonts w:ascii="Times New Roman" w:hAnsi="Times New Roman" w:eastAsia="Times New Roman" w:cs="Times New Roman"/>
          <w:i/>
          <w:sz w:val="24"/>
          <w:szCs w:val="24"/>
          <w:lang w:val="en-US" w:eastAsia="ru-RU"/>
        </w:rPr>
        <w:t>Radiation Measurements</w:t>
      </w:r>
      <w:r>
        <w:rPr>
          <w:rFonts w:ascii="Times New Roman" w:hAnsi="Times New Roman" w:eastAsia="Times New Roman" w:cs="Times New Roman"/>
          <w:sz w:val="24"/>
          <w:szCs w:val="24"/>
          <w:lang w:val="en-US" w:eastAsia="ru-RU"/>
        </w:rPr>
        <w:t xml:space="preserve">, 1997, Vol. 27, no. 5–6, p. 769–817. </w:t>
      </w:r>
      <w:r>
        <w:fldChar w:fldCharType="begin"/>
      </w:r>
      <w:r>
        <w:instrText xml:space="preserve"> HYPERLINK "https://doi.org/10.1016/S1350-4487(97)00220-5" \t "_blank" \o "Persistent link using digital object identifier" </w:instrText>
      </w:r>
      <w:r>
        <w:fldChar w:fldCharType="separate"/>
      </w:r>
      <w:r>
        <w:rPr>
          <w:rStyle w:val="21"/>
          <w:rFonts w:ascii="Times New Roman" w:hAnsi="Times New Roman" w:cs="Times New Roman"/>
          <w:sz w:val="24"/>
          <w:szCs w:val="24"/>
          <w:lang w:val="en-US"/>
        </w:rPr>
        <w:t>DOI: 10.1016/S1350-4487(97)00220-5</w:t>
      </w:r>
      <w:r>
        <w:rPr>
          <w:rStyle w:val="21"/>
          <w:rFonts w:ascii="Times New Roman" w:hAnsi="Times New Roman" w:cs="Times New Roman"/>
          <w:sz w:val="24"/>
          <w:szCs w:val="24"/>
          <w:lang w:val="en-US"/>
        </w:rPr>
        <w:fldChar w:fldCharType="end"/>
      </w:r>
    </w:p>
    <w:p w14:paraId="40F910F9">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15. Murray A.S., Wintle A.G. </w:t>
      </w:r>
      <w:r>
        <w:rPr>
          <w:rFonts w:ascii="Times New Roman" w:hAnsi="Times New Roman" w:cs="Times New Roman"/>
          <w:i/>
          <w:sz w:val="24"/>
          <w:szCs w:val="24"/>
          <w:lang w:val="en-US"/>
        </w:rPr>
        <w:t>The single aliquot regenerative dose protocol: Potential for improvements in reliability</w:t>
      </w:r>
      <w:r>
        <w:rPr>
          <w:rFonts w:ascii="Times New Roman" w:hAnsi="Times New Roman" w:cs="Times New Roman"/>
          <w:sz w:val="24"/>
          <w:szCs w:val="24"/>
          <w:lang w:val="en-US"/>
        </w:rPr>
        <w:t xml:space="preserve"> // Radiation Measurements. 2003. Vol. 37. № 4–5. P. 377–381. </w:t>
      </w:r>
      <w:r>
        <w:fldChar w:fldCharType="begin"/>
      </w:r>
      <w:r>
        <w:instrText xml:space="preserve"> HYPERLINK "https://doi.org/10.1016/S1350-4487(03)00053-2" \t "_blank" \o "Persistent link using digital object identifier" </w:instrText>
      </w:r>
      <w:r>
        <w:fldChar w:fldCharType="separate"/>
      </w:r>
      <w:r>
        <w:rPr>
          <w:rStyle w:val="21"/>
          <w:rFonts w:ascii="Times New Roman" w:hAnsi="Times New Roman" w:cs="Times New Roman"/>
          <w:sz w:val="24"/>
          <w:szCs w:val="24"/>
          <w:lang w:val="en-US"/>
        </w:rPr>
        <w:t>DOI: 10.1016/S1350-4487(03)00053-2</w:t>
      </w:r>
      <w:r>
        <w:rPr>
          <w:rStyle w:val="21"/>
          <w:rFonts w:ascii="Times New Roman" w:hAnsi="Times New Roman" w:cs="Times New Roman"/>
          <w:sz w:val="24"/>
          <w:szCs w:val="24"/>
          <w:lang w:val="en-US"/>
        </w:rPr>
        <w:fldChar w:fldCharType="end"/>
      </w:r>
    </w:p>
    <w:p w14:paraId="0FD110D2">
      <w:pPr>
        <w:pStyle w:val="11"/>
        <w:spacing w:line="360" w:lineRule="auto"/>
        <w:ind w:firstLine="709"/>
        <w:jc w:val="both"/>
        <w:rPr>
          <w:rFonts w:ascii="Times New Roman" w:hAnsi="Times New Roman"/>
          <w:sz w:val="24"/>
          <w:szCs w:val="24"/>
          <w:lang w:val="en-US"/>
        </w:rPr>
      </w:pPr>
      <w:r>
        <w:rPr>
          <w:rFonts w:ascii="Times New Roman" w:hAnsi="Times New Roman"/>
          <w:sz w:val="24"/>
          <w:szCs w:val="24"/>
          <w:lang w:val="en-US"/>
        </w:rPr>
        <w:t xml:space="preserve">16. Durcan, J.A., King, G.E., Duller, G.A.T. DRAC: Dose Rate and Age Calculator for trapped charge dating // </w:t>
      </w:r>
      <w:r>
        <w:rPr>
          <w:rFonts w:ascii="Times New Roman" w:hAnsi="Times New Roman"/>
          <w:i/>
          <w:sz w:val="24"/>
          <w:szCs w:val="24"/>
          <w:lang w:val="en-US"/>
        </w:rPr>
        <w:t>Quat. Geochronology</w:t>
      </w:r>
      <w:r>
        <w:rPr>
          <w:rFonts w:ascii="Times New Roman" w:hAnsi="Times New Roman"/>
          <w:sz w:val="24"/>
          <w:szCs w:val="24"/>
          <w:lang w:val="en-US"/>
        </w:rPr>
        <w:t xml:space="preserve">, 2015, v. 28, p. 54–61.  </w:t>
      </w:r>
      <w:r>
        <w:fldChar w:fldCharType="begin"/>
      </w:r>
      <w:r>
        <w:instrText xml:space="preserve"> HYPERLINK "https://doi.org/10.1016/j.quageo.2015.03.012" </w:instrText>
      </w:r>
      <w:r>
        <w:fldChar w:fldCharType="separate"/>
      </w:r>
      <w:r>
        <w:rPr>
          <w:rStyle w:val="7"/>
          <w:rFonts w:ascii="Times New Roman" w:hAnsi="Times New Roman"/>
          <w:sz w:val="24"/>
          <w:szCs w:val="24"/>
          <w:lang w:val="en-US"/>
        </w:rPr>
        <w:t>DOI: 10.1016/j.quageo.2015.03.012</w:t>
      </w:r>
      <w:r>
        <w:rPr>
          <w:rStyle w:val="7"/>
          <w:rFonts w:ascii="Times New Roman" w:hAnsi="Times New Roman"/>
          <w:sz w:val="24"/>
          <w:szCs w:val="24"/>
          <w:lang w:val="en-US"/>
        </w:rPr>
        <w:fldChar w:fldCharType="end"/>
      </w:r>
    </w:p>
    <w:p w14:paraId="61781235">
      <w:pPr>
        <w:shd w:val="clear" w:color="auto" w:fill="FFFFFF"/>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shd w:val="clear" w:color="auto" w:fill="FFFFFF"/>
          <w:lang w:val="en-US"/>
        </w:rPr>
        <w:t>17. Ruchkin, M. V., Nosevich, E. S., Sheetov, M. V., Brill, D. Stratigraphy and OSL chronology of the Middle–Upper Pleistocene sedimentary sequence and vegetation history during Late MIS6–MIS5e in the Neva Lowland (St. Petersburg region, Russia). </w:t>
      </w:r>
      <w:r>
        <w:rPr>
          <w:rFonts w:ascii="Times New Roman" w:hAnsi="Times New Roman" w:cs="Times New Roman"/>
          <w:i/>
          <w:iCs/>
          <w:sz w:val="24"/>
          <w:szCs w:val="24"/>
          <w:shd w:val="clear" w:color="auto" w:fill="FFFFFF"/>
          <w:lang w:val="en-US"/>
        </w:rPr>
        <w:t>Journal of Quaternary Science</w:t>
      </w:r>
      <w:r>
        <w:rPr>
          <w:rFonts w:ascii="Times New Roman" w:hAnsi="Times New Roman" w:cs="Times New Roman"/>
          <w:sz w:val="24"/>
          <w:szCs w:val="24"/>
          <w:shd w:val="clear" w:color="auto" w:fill="FFFFFF"/>
          <w:lang w:val="en-US"/>
        </w:rPr>
        <w:t>, 2024, v.</w:t>
      </w:r>
      <w:r>
        <w:rPr>
          <w:rFonts w:ascii="Times New Roman" w:hAnsi="Times New Roman" w:cs="Times New Roman"/>
          <w:iCs/>
          <w:sz w:val="24"/>
          <w:szCs w:val="24"/>
          <w:shd w:val="clear" w:color="auto" w:fill="FFFFFF"/>
          <w:lang w:val="en-US"/>
        </w:rPr>
        <w:t>39</w:t>
      </w:r>
      <w:r>
        <w:rPr>
          <w:rFonts w:ascii="Times New Roman" w:hAnsi="Times New Roman" w:cs="Times New Roman"/>
          <w:sz w:val="24"/>
          <w:szCs w:val="24"/>
          <w:shd w:val="clear" w:color="auto" w:fill="FFFFFF"/>
          <w:lang w:val="en-US"/>
        </w:rPr>
        <w:t>(5), p. 745-764.</w:t>
      </w:r>
      <w:r>
        <w:rPr>
          <w:rFonts w:ascii="Times New Roman" w:hAnsi="Times New Roman" w:cs="Times New Roman"/>
          <w:sz w:val="24"/>
          <w:szCs w:val="24"/>
          <w:lang w:val="en-US"/>
        </w:rPr>
        <w:t xml:space="preserve"> </w:t>
      </w:r>
      <w:r>
        <w:rPr>
          <w:rFonts w:ascii="Arial" w:hAnsi="Arial" w:cs="Arial"/>
          <w:color w:val="767676"/>
          <w:sz w:val="17"/>
          <w:szCs w:val="17"/>
          <w:shd w:val="clear" w:color="auto" w:fill="FFFFFF"/>
          <w:lang w:val="en-US"/>
        </w:rPr>
        <w:t> </w:t>
      </w:r>
      <w:r>
        <w:fldChar w:fldCharType="begin"/>
      </w:r>
      <w:r>
        <w:instrText xml:space="preserve"> HYPERLINK "https://doi.org/10.1002/jqs.3618" </w:instrText>
      </w:r>
      <w:r>
        <w:fldChar w:fldCharType="separate"/>
      </w:r>
      <w:r>
        <w:rPr>
          <w:rStyle w:val="7"/>
          <w:rFonts w:ascii="Times New Roman" w:hAnsi="Times New Roman" w:cs="Times New Roman"/>
          <w:bCs/>
          <w:color w:val="auto"/>
          <w:sz w:val="24"/>
          <w:szCs w:val="24"/>
          <w:lang w:val="en-US"/>
        </w:rPr>
        <w:t>https://doi.org/10.1002/jqs.3618</w:t>
      </w:r>
      <w:r>
        <w:rPr>
          <w:rStyle w:val="7"/>
          <w:rFonts w:ascii="Times New Roman" w:hAnsi="Times New Roman" w:cs="Times New Roman"/>
          <w:bCs/>
          <w:color w:val="auto"/>
          <w:sz w:val="24"/>
          <w:szCs w:val="24"/>
          <w:lang w:val="en-US"/>
        </w:rPr>
        <w:fldChar w:fldCharType="end"/>
      </w:r>
    </w:p>
    <w:p w14:paraId="6430B8C4">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color w:val="222222"/>
          <w:sz w:val="24"/>
          <w:szCs w:val="24"/>
          <w:shd w:val="clear" w:color="auto" w:fill="FFFFFF"/>
          <w:lang w:val="en-US"/>
        </w:rPr>
        <w:t>18. Zaretskaya, N. E., Hartz, S., Terberger, T., Savchenko, S. N., Zhilin, M. G. Radiocarbon chronology of the Shigir and Gorbunovo archaeological bog sites, Middle Urals, Russia. </w:t>
      </w:r>
      <w:r>
        <w:rPr>
          <w:rFonts w:ascii="Times New Roman" w:hAnsi="Times New Roman" w:cs="Times New Roman"/>
          <w:i/>
          <w:iCs/>
          <w:color w:val="222222"/>
          <w:sz w:val="24"/>
          <w:szCs w:val="24"/>
          <w:shd w:val="clear" w:color="auto" w:fill="FFFFFF"/>
          <w:lang w:val="en-US"/>
        </w:rPr>
        <w:t>Radiocarbon</w:t>
      </w:r>
      <w:r>
        <w:rPr>
          <w:rFonts w:ascii="Times New Roman" w:hAnsi="Times New Roman" w:cs="Times New Roman"/>
          <w:color w:val="222222"/>
          <w:sz w:val="24"/>
          <w:szCs w:val="24"/>
          <w:shd w:val="clear" w:color="auto" w:fill="FFFFFF"/>
          <w:lang w:val="en-US"/>
        </w:rPr>
        <w:t xml:space="preserve">, 2012, v. </w:t>
      </w:r>
      <w:r>
        <w:rPr>
          <w:rFonts w:ascii="Times New Roman" w:hAnsi="Times New Roman" w:cs="Times New Roman"/>
          <w:iCs/>
          <w:color w:val="222222"/>
          <w:sz w:val="24"/>
          <w:szCs w:val="24"/>
          <w:shd w:val="clear" w:color="auto" w:fill="FFFFFF"/>
          <w:lang w:val="en-US"/>
        </w:rPr>
        <w:t>54</w:t>
      </w:r>
      <w:r>
        <w:rPr>
          <w:rFonts w:ascii="Times New Roman" w:hAnsi="Times New Roman" w:cs="Times New Roman"/>
          <w:color w:val="222222"/>
          <w:sz w:val="24"/>
          <w:szCs w:val="24"/>
          <w:shd w:val="clear" w:color="auto" w:fill="FFFFFF"/>
          <w:lang w:val="en-US"/>
        </w:rPr>
        <w:t xml:space="preserve">(3-4), p. 783-794. </w:t>
      </w:r>
      <w:r>
        <w:fldChar w:fldCharType="begin"/>
      </w:r>
      <w:r>
        <w:instrText xml:space="preserve"> HYPERLINK "https://doi.org/10.1017/S0033822200047433" \t "_blank" </w:instrText>
      </w:r>
      <w:r>
        <w:fldChar w:fldCharType="separate"/>
      </w:r>
      <w:r>
        <w:rPr>
          <w:rStyle w:val="24"/>
          <w:rFonts w:ascii="Times New Roman" w:hAnsi="Times New Roman" w:cs="Times New Roman"/>
          <w:color w:val="006FCA"/>
          <w:sz w:val="24"/>
          <w:szCs w:val="24"/>
          <w:u w:val="single"/>
          <w:shd w:val="clear" w:color="auto" w:fill="F3F3F3"/>
          <w:lang w:val="en-US"/>
        </w:rPr>
        <w:t>https://doi.org/10.1017/S0033822200047433</w:t>
      </w:r>
      <w:r>
        <w:rPr>
          <w:rStyle w:val="24"/>
          <w:rFonts w:ascii="Times New Roman" w:hAnsi="Times New Roman" w:cs="Times New Roman"/>
          <w:color w:val="006FCA"/>
          <w:sz w:val="24"/>
          <w:szCs w:val="24"/>
          <w:u w:val="single"/>
          <w:shd w:val="clear" w:color="auto" w:fill="F3F3F3"/>
          <w:lang w:val="en-US"/>
        </w:rPr>
        <w:fldChar w:fldCharType="end"/>
      </w:r>
    </w:p>
    <w:p w14:paraId="3383352B">
      <w:pPr>
        <w:spacing w:after="0" w:line="360" w:lineRule="auto"/>
        <w:ind w:firstLine="709"/>
        <w:jc w:val="both"/>
        <w:rPr>
          <w:rFonts w:ascii="Times New Roman" w:hAnsi="Times New Roman" w:cs="Times New Roman"/>
          <w:sz w:val="24"/>
          <w:szCs w:val="24"/>
          <w:lang w:val="en-US"/>
        </w:rPr>
      </w:pPr>
      <w:r>
        <w:rPr>
          <w:rFonts w:ascii="Times New Roman" w:hAnsi="Times New Roman" w:eastAsia="Calibri" w:cs="Times New Roman"/>
          <w:sz w:val="24"/>
          <w:szCs w:val="24"/>
          <w:shd w:val="clear" w:color="auto" w:fill="FFFFFF"/>
          <w:lang w:val="fi-FI"/>
        </w:rPr>
        <w:t>19. Reimer</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P.J., Bard</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E., Bayliss</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A., et al. </w:t>
      </w:r>
      <w:r>
        <w:rPr>
          <w:rFonts w:ascii="Times New Roman" w:hAnsi="Times New Roman" w:eastAsia="Calibri" w:cs="Times New Roman"/>
          <w:sz w:val="24"/>
          <w:szCs w:val="24"/>
          <w:lang w:val="en-US"/>
        </w:rPr>
        <w:t xml:space="preserve">The IntCal20 Northern Hemisphere Radiocarbon Age Calibration Curve (0–55 cal kBP) // </w:t>
      </w:r>
      <w:r>
        <w:rPr>
          <w:rFonts w:ascii="Times New Roman" w:hAnsi="Times New Roman" w:eastAsia="Calibri" w:cs="Times New Roman"/>
          <w:i/>
          <w:sz w:val="24"/>
          <w:szCs w:val="24"/>
          <w:lang w:val="en-US"/>
        </w:rPr>
        <w:t>Radiocarbon</w:t>
      </w:r>
      <w:r>
        <w:rPr>
          <w:rFonts w:ascii="Times New Roman" w:hAnsi="Times New Roman" w:eastAsia="Calibri" w:cs="Times New Roman"/>
          <w:sz w:val="24"/>
          <w:szCs w:val="24"/>
          <w:lang w:val="en-US"/>
        </w:rPr>
        <w:t xml:space="preserve">, </w:t>
      </w:r>
      <w:r>
        <w:rPr>
          <w:rFonts w:ascii="Times New Roman" w:hAnsi="Times New Roman" w:cs="Times New Roman"/>
          <w:sz w:val="24"/>
          <w:szCs w:val="24"/>
          <w:lang w:val="en-US"/>
        </w:rPr>
        <w:t xml:space="preserve">2020, </w:t>
      </w:r>
      <w:r>
        <w:rPr>
          <w:rFonts w:ascii="Times New Roman" w:hAnsi="Times New Roman" w:eastAsia="Calibri" w:cs="Times New Roman"/>
          <w:sz w:val="24"/>
          <w:szCs w:val="24"/>
          <w:lang w:val="en-US"/>
        </w:rPr>
        <w:t xml:space="preserve">v.62 (4), </w:t>
      </w:r>
      <w:r>
        <w:rPr>
          <w:rFonts w:ascii="Times New Roman" w:hAnsi="Times New Roman" w:cs="Times New Roman"/>
          <w:sz w:val="24"/>
          <w:szCs w:val="24"/>
          <w:lang w:val="en-US"/>
        </w:rPr>
        <w:t>p</w:t>
      </w:r>
      <w:r>
        <w:rPr>
          <w:rFonts w:ascii="Times New Roman" w:hAnsi="Times New Roman" w:eastAsia="Calibri" w:cs="Times New Roman"/>
          <w:sz w:val="24"/>
          <w:szCs w:val="24"/>
          <w:lang w:val="en-US"/>
        </w:rPr>
        <w:t>. 725-757.</w:t>
      </w:r>
      <w:r>
        <w:rPr>
          <w:rFonts w:ascii="Times New Roman" w:hAnsi="Times New Roman" w:cs="Times New Roman"/>
          <w:sz w:val="24"/>
          <w:szCs w:val="24"/>
          <w:lang w:val="en-US"/>
        </w:rPr>
        <w:t xml:space="preserve"> </w:t>
      </w:r>
      <w:r>
        <w:fldChar w:fldCharType="begin"/>
      </w:r>
      <w:r>
        <w:instrText xml:space="preserve"> HYPERLINK "https://doi.org/10.1017/RDC.2020.41" \t "_blank" </w:instrText>
      </w:r>
      <w:r>
        <w:fldChar w:fldCharType="separate"/>
      </w:r>
      <w:r>
        <w:rPr>
          <w:rStyle w:val="24"/>
          <w:rFonts w:ascii="Times New Roman" w:hAnsi="Times New Roman" w:cs="Times New Roman"/>
          <w:sz w:val="24"/>
          <w:szCs w:val="24"/>
          <w:shd w:val="clear" w:color="auto" w:fill="F3F3F3"/>
          <w:lang w:val="en-US"/>
        </w:rPr>
        <w:t>https://doi.org/10.1017/RDC.2020.41</w:t>
      </w:r>
      <w:r>
        <w:rPr>
          <w:rStyle w:val="24"/>
          <w:rFonts w:ascii="Times New Roman" w:hAnsi="Times New Roman" w:cs="Times New Roman"/>
          <w:sz w:val="24"/>
          <w:szCs w:val="24"/>
          <w:shd w:val="clear" w:color="auto" w:fill="F3F3F3"/>
          <w:lang w:val="en-US"/>
        </w:rPr>
        <w:fldChar w:fldCharType="end"/>
      </w:r>
    </w:p>
    <w:p w14:paraId="48745E8E">
      <w:pPr>
        <w:tabs>
          <w:tab w:val="left" w:pos="2977"/>
        </w:tabs>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GB"/>
        </w:rPr>
        <w:t>20. Benn, D.I., Evans, D.J.A. Glaciers and Glaciation. Hodder Education</w:t>
      </w:r>
      <w:r>
        <w:rPr>
          <w:rFonts w:ascii="Times New Roman" w:hAnsi="Times New Roman" w:cs="Times New Roman"/>
          <w:sz w:val="24"/>
          <w:szCs w:val="24"/>
          <w:lang w:val="en-US"/>
        </w:rPr>
        <w:t>, 2010. 817 p.</w:t>
      </w:r>
    </w:p>
    <w:p w14:paraId="4C759E3C">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21. Vashkov, A., Nosova, O. </w:t>
      </w:r>
      <w:r>
        <w:rPr>
          <w:rFonts w:ascii="Times New Roman" w:hAnsi="Times New Roman" w:cs="Times New Roman"/>
          <w:bCs/>
          <w:sz w:val="24"/>
          <w:szCs w:val="24"/>
          <w:lang w:val="en-US"/>
        </w:rPr>
        <w:t xml:space="preserve">Ice-marginal deposits near the Umba town (the south-west of the Kola Peninsula)// </w:t>
      </w:r>
      <w:r>
        <w:rPr>
          <w:rFonts w:ascii="Times New Roman" w:hAnsi="Times New Roman" w:cs="Times New Roman"/>
          <w:bCs/>
          <w:i/>
          <w:sz w:val="24"/>
          <w:szCs w:val="24"/>
          <w:lang w:val="en-US"/>
        </w:rPr>
        <w:t>Geomorphologiya</w:t>
      </w:r>
      <w:r>
        <w:rPr>
          <w:rFonts w:ascii="Times New Roman" w:hAnsi="Times New Roman" w:cs="Times New Roman"/>
          <w:bCs/>
          <w:sz w:val="24"/>
          <w:szCs w:val="24"/>
          <w:lang w:val="en-US"/>
        </w:rPr>
        <w:t>, 2021, vol. 52, No. 2,</w:t>
      </w:r>
      <w:r>
        <w:rPr>
          <w:rFonts w:ascii="Times New Roman" w:hAnsi="Times New Roman" w:cs="Times New Roman"/>
          <w:sz w:val="24"/>
          <w:szCs w:val="24"/>
          <w:lang w:val="en-US"/>
        </w:rPr>
        <w:t xml:space="preserve"> p. 31–43.  https://doi.org/</w:t>
      </w:r>
      <w:r>
        <w:rPr>
          <w:rFonts w:ascii="Times New Roman" w:hAnsi="Times New Roman" w:eastAsia="Newton-Regular" w:cs="Times New Roman"/>
          <w:sz w:val="24"/>
          <w:szCs w:val="24"/>
          <w:lang w:val="en-US"/>
        </w:rPr>
        <w:t>10.31857/S0435428121020103</w:t>
      </w:r>
    </w:p>
    <w:p w14:paraId="19BBD12B">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 Rybalko A.E., Zhuravlev V.A., Semenova L.R., Tokarev M.Y. Quaternary sediments of the White Sea and the history of development of the modern White Sea basin in the late Pleistocene-Holocene. In: Sistema Belogo morya. T. IV. Protsessy osadkoobrazovaniya, geologiya i istoriya, 2017, Moscow: Nauchnyi Mir (Publ.), </w:t>
      </w:r>
      <w:r>
        <w:rPr>
          <w:rFonts w:ascii="Times New Roman" w:hAnsi="Times New Roman" w:cs="Times New Roman"/>
          <w:sz w:val="24"/>
          <w:szCs w:val="24"/>
          <w:lang w:val="en-GB"/>
        </w:rPr>
        <w:t>p.</w:t>
      </w:r>
      <w:r>
        <w:rPr>
          <w:rFonts w:ascii="Times New Roman" w:hAnsi="Times New Roman" w:cs="Times New Roman"/>
          <w:sz w:val="24"/>
          <w:szCs w:val="24"/>
          <w:lang w:val="en-US"/>
        </w:rPr>
        <w:t xml:space="preserve"> 16–84.</w:t>
      </w:r>
      <w:r>
        <w:rPr>
          <w:rFonts w:ascii="Times New Roman" w:hAnsi="Times New Roman" w:cs="Times New Roman"/>
          <w:sz w:val="24"/>
          <w:szCs w:val="24"/>
          <w:lang w:val="en-GB"/>
        </w:rPr>
        <w:t xml:space="preserve"> </w:t>
      </w:r>
      <w:r>
        <w:rPr>
          <w:rFonts w:ascii="Times New Roman" w:hAnsi="Times New Roman" w:cs="Times New Roman"/>
          <w:sz w:val="24"/>
          <w:szCs w:val="24"/>
          <w:lang w:val="en-US"/>
        </w:rPr>
        <w:t>(</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Russ</w:t>
      </w:r>
      <w:r>
        <w:rPr>
          <w:rFonts w:ascii="Times New Roman" w:hAnsi="Times New Roman" w:cs="Times New Roman"/>
          <w:sz w:val="24"/>
          <w:szCs w:val="24"/>
          <w:lang w:val="en-US"/>
        </w:rPr>
        <w:t>.).</w:t>
      </w:r>
    </w:p>
    <w:p w14:paraId="0345460E">
      <w:pPr>
        <w:pStyle w:val="11"/>
        <w:spacing w:line="360" w:lineRule="auto"/>
        <w:ind w:firstLine="709"/>
        <w:jc w:val="both"/>
        <w:rPr>
          <w:rFonts w:ascii="Times New Roman" w:hAnsi="Times New Roman"/>
          <w:sz w:val="24"/>
          <w:szCs w:val="24"/>
          <w:lang w:val="en-US"/>
        </w:rPr>
      </w:pPr>
      <w:r>
        <w:rPr>
          <w:rFonts w:ascii="Times New Roman" w:hAnsi="Times New Roman"/>
          <w:bCs/>
          <w:sz w:val="24"/>
          <w:szCs w:val="24"/>
          <w:lang w:val="en-US"/>
        </w:rPr>
        <w:t>23.</w:t>
      </w:r>
      <w:r>
        <w:rPr>
          <w:rFonts w:ascii="Times New Roman" w:hAnsi="Times New Roman"/>
          <w:b/>
          <w:sz w:val="24"/>
          <w:szCs w:val="24"/>
          <w:lang w:val="en-US"/>
        </w:rPr>
        <w:t xml:space="preserve"> </w:t>
      </w:r>
      <w:r>
        <w:rPr>
          <w:rFonts w:ascii="Times New Roman" w:hAnsi="Times New Roman"/>
          <w:sz w:val="24"/>
          <w:szCs w:val="24"/>
          <w:lang w:val="en-US"/>
        </w:rPr>
        <w:t xml:space="preserve">Kolka V.V., Korsakova O.P. The position of the White Sea coastline and neotectonic movements of the north-east of Fennoscandia in the Late Glacial and Holocene. In: Sistema Belogo morya. Tom IV. Protsessy osadkoobrazovaniya, geologiya i istoriya, 2017, Moscow: Nauchnyi mir (Publ.), </w:t>
      </w:r>
      <w:r>
        <w:rPr>
          <w:rFonts w:ascii="Times New Roman" w:hAnsi="Times New Roman"/>
          <w:sz w:val="24"/>
          <w:szCs w:val="24"/>
          <w:lang w:val="en-GB"/>
        </w:rPr>
        <w:t>p</w:t>
      </w:r>
      <w:r>
        <w:rPr>
          <w:rFonts w:ascii="Times New Roman" w:hAnsi="Times New Roman"/>
          <w:sz w:val="24"/>
          <w:szCs w:val="24"/>
          <w:lang w:val="en-US"/>
        </w:rPr>
        <w:t>. 222-249.</w:t>
      </w:r>
      <w:r>
        <w:rPr>
          <w:rFonts w:ascii="Times New Roman" w:hAnsi="Times New Roman"/>
          <w:sz w:val="24"/>
          <w:szCs w:val="24"/>
          <w:lang w:val="en-GB"/>
        </w:rPr>
        <w:t xml:space="preserve"> </w:t>
      </w:r>
      <w:r>
        <w:rPr>
          <w:rFonts w:ascii="Times New Roman" w:hAnsi="Times New Roman"/>
          <w:sz w:val="24"/>
          <w:szCs w:val="24"/>
          <w:lang w:val="en-US"/>
        </w:rPr>
        <w:t>(</w:t>
      </w:r>
      <w:r>
        <w:rPr>
          <w:rFonts w:ascii="Times New Roman" w:hAnsi="Times New Roman"/>
          <w:sz w:val="24"/>
          <w:szCs w:val="24"/>
          <w:lang w:val="en-GB"/>
        </w:rPr>
        <w:t>in</w:t>
      </w:r>
      <w:r>
        <w:rPr>
          <w:rFonts w:ascii="Times New Roman" w:hAnsi="Times New Roman"/>
          <w:sz w:val="24"/>
          <w:szCs w:val="24"/>
          <w:lang w:val="en-US"/>
        </w:rPr>
        <w:t xml:space="preserve"> </w:t>
      </w:r>
      <w:r>
        <w:rPr>
          <w:rFonts w:ascii="Times New Roman" w:hAnsi="Times New Roman"/>
          <w:sz w:val="24"/>
          <w:szCs w:val="24"/>
          <w:lang w:val="en-GB"/>
        </w:rPr>
        <w:t>Russ</w:t>
      </w:r>
      <w:r>
        <w:rPr>
          <w:rFonts w:ascii="Times New Roman" w:hAnsi="Times New Roman"/>
          <w:sz w:val="24"/>
          <w:szCs w:val="24"/>
          <w:lang w:val="en-US"/>
        </w:rPr>
        <w:t>.).</w:t>
      </w:r>
    </w:p>
    <w:p w14:paraId="3461C916">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24. Okolodkov, Y.B. A checklist of algal species found in the East Siberian Sea in May 1987. Polar Biology, 1993, v. 13, p. 7–11</w:t>
      </w:r>
    </w:p>
    <w:p w14:paraId="1E205317">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25. von Quillfeldt, C.H. Distribution of diatoms in the Northern Water Polynya, Greenland. </w:t>
      </w:r>
      <w:r>
        <w:rPr>
          <w:rFonts w:ascii="Times New Roman" w:hAnsi="Times New Roman" w:cs="Times New Roman"/>
          <w:i/>
          <w:sz w:val="24"/>
          <w:szCs w:val="24"/>
          <w:lang w:val="en-US"/>
        </w:rPr>
        <w:t>Journal of Marine Systems</w:t>
      </w:r>
      <w:r>
        <w:rPr>
          <w:rFonts w:ascii="Times New Roman" w:hAnsi="Times New Roman" w:cs="Times New Roman"/>
          <w:sz w:val="24"/>
          <w:szCs w:val="24"/>
          <w:lang w:val="en-US"/>
        </w:rPr>
        <w:t>, 1997, v. 10, p. 211–240.</w:t>
      </w:r>
    </w:p>
    <w:p w14:paraId="6EC2B7FA">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26. Meiners, K., Fehling, J., Granskog, M.A. et al. Abundance, biomass and composition of biota in Baltic Sea ice and underlying water (March 2000). </w:t>
      </w:r>
      <w:r>
        <w:rPr>
          <w:rFonts w:ascii="Times New Roman" w:hAnsi="Times New Roman" w:cs="Times New Roman"/>
          <w:i/>
          <w:sz w:val="24"/>
          <w:szCs w:val="24"/>
          <w:lang w:val="en-US"/>
        </w:rPr>
        <w:t>Polar Biology</w:t>
      </w:r>
      <w:r>
        <w:rPr>
          <w:rFonts w:ascii="Times New Roman" w:hAnsi="Times New Roman" w:cs="Times New Roman"/>
          <w:sz w:val="24"/>
          <w:szCs w:val="24"/>
          <w:lang w:val="en-US"/>
        </w:rPr>
        <w:t>, 2002, v. 25, p. 761–770. https://doi.org/10.1007/s00300-002-0403-x</w:t>
      </w:r>
    </w:p>
    <w:p w14:paraId="183F991A">
      <w:pPr>
        <w:pStyle w:val="11"/>
        <w:spacing w:line="360" w:lineRule="auto"/>
        <w:ind w:firstLine="709"/>
        <w:jc w:val="both"/>
        <w:rPr>
          <w:rFonts w:ascii="Times New Roman" w:hAnsi="Times New Roman"/>
          <w:sz w:val="24"/>
          <w:szCs w:val="24"/>
          <w:lang w:val="en-US"/>
        </w:rPr>
      </w:pPr>
      <w:r>
        <w:rPr>
          <w:rFonts w:ascii="Times New Roman" w:hAnsi="Times New Roman"/>
          <w:sz w:val="24"/>
          <w:szCs w:val="24"/>
          <w:lang w:val="en-US"/>
        </w:rPr>
        <w:t xml:space="preserve">27. Busse S., Snoeijs P. Gradient responses of diatom communities in the Bothnian Bay, northern Baltic Sea // </w:t>
      </w:r>
      <w:r>
        <w:rPr>
          <w:rFonts w:ascii="Times New Roman" w:hAnsi="Times New Roman"/>
          <w:i/>
          <w:sz w:val="24"/>
          <w:szCs w:val="24"/>
          <w:lang w:val="en-US"/>
        </w:rPr>
        <w:t>Phycologia</w:t>
      </w:r>
      <w:r>
        <w:rPr>
          <w:rFonts w:ascii="Times New Roman" w:hAnsi="Times New Roman"/>
          <w:sz w:val="24"/>
          <w:szCs w:val="24"/>
          <w:lang w:val="en-US"/>
        </w:rPr>
        <w:t>, 2003, vol. 42(5), p. 451-464. DOI: 10.1127/0029-5035/2002/0074-0501</w:t>
      </w:r>
    </w:p>
    <w:p w14:paraId="6DEE0D21">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28. Shilova, O. S. Diatom algae in the meromictic lake deposits of the Karelian coast, White Sea. </w:t>
      </w:r>
      <w:r>
        <w:rPr>
          <w:rFonts w:ascii="Times New Roman" w:hAnsi="Times New Roman" w:cs="Times New Roman"/>
          <w:i/>
          <w:sz w:val="24"/>
          <w:szCs w:val="24"/>
          <w:lang w:val="en-US"/>
        </w:rPr>
        <w:t>Issues of Modern Algology</w:t>
      </w:r>
      <w:r>
        <w:rPr>
          <w:rFonts w:ascii="Times New Roman" w:hAnsi="Times New Roman" w:cs="Times New Roman"/>
          <w:sz w:val="24"/>
          <w:szCs w:val="24"/>
          <w:lang w:val="en-US"/>
        </w:rPr>
        <w:t xml:space="preserve"> 2025, v. </w:t>
      </w:r>
      <w:r>
        <w:rPr>
          <w:rFonts w:ascii="Times New Roman" w:hAnsi="Times New Roman" w:cs="Times New Roman"/>
          <w:bCs/>
          <w:sz w:val="24"/>
          <w:szCs w:val="24"/>
          <w:lang w:val="en-US"/>
        </w:rPr>
        <w:t>1</w:t>
      </w:r>
      <w:r>
        <w:rPr>
          <w:rFonts w:ascii="Times New Roman" w:hAnsi="Times New Roman" w:cs="Times New Roman"/>
          <w:sz w:val="24"/>
          <w:szCs w:val="24"/>
          <w:lang w:val="en-US"/>
        </w:rPr>
        <w:t xml:space="preserve"> (37), p. 342–347 (2025) [in Russian].</w:t>
      </w:r>
    </w:p>
    <w:p w14:paraId="126F28D0">
      <w:pPr>
        <w:shd w:val="clear" w:color="auto" w:fill="FFFFFF"/>
        <w:spacing w:after="0" w:line="360" w:lineRule="auto"/>
        <w:ind w:firstLine="709"/>
        <w:jc w:val="both"/>
        <w:rPr>
          <w:rFonts w:ascii="Times New Roman" w:hAnsi="Times New Roman" w:cs="Times New Roman"/>
          <w:sz w:val="24"/>
          <w:szCs w:val="24"/>
          <w:shd w:val="clear" w:color="auto" w:fill="FFFFFF"/>
          <w:lang w:val="en-US"/>
        </w:rPr>
      </w:pPr>
      <w:r>
        <w:rPr>
          <w:rStyle w:val="7"/>
          <w:rFonts w:ascii="Times New Roman" w:hAnsi="Times New Roman" w:cs="Times New Roman"/>
          <w:color w:val="000000" w:themeColor="text1"/>
          <w:sz w:val="24"/>
          <w:szCs w:val="24"/>
          <w:u w:val="none"/>
          <w:lang w:val="en-US"/>
          <w14:textFill>
            <w14:solidFill>
              <w14:schemeClr w14:val="tx1"/>
            </w14:solidFill>
          </w14:textFill>
        </w:rPr>
        <w:t xml:space="preserve">29. Repkina T.Y., Zaretskaya N.E., Shvarev S.V. et al. Morphodynamics and Morphotectonics of the Mouth Area of the Varzuga River in the Late Glacial and Holocene (Terskii Coast of the White Sea). </w:t>
      </w:r>
      <w:r>
        <w:rPr>
          <w:rStyle w:val="7"/>
          <w:rFonts w:ascii="Times New Roman" w:hAnsi="Times New Roman" w:cs="Times New Roman"/>
          <w:i/>
          <w:iCs/>
          <w:color w:val="000000" w:themeColor="text1"/>
          <w:sz w:val="24"/>
          <w:szCs w:val="24"/>
          <w:u w:val="none"/>
          <w:lang w:val="en-US"/>
          <w14:textFill>
            <w14:solidFill>
              <w14:schemeClr w14:val="tx1"/>
            </w14:solidFill>
          </w14:textFill>
        </w:rPr>
        <w:t xml:space="preserve">Geomorphologia and Palaeogeographia, </w:t>
      </w:r>
      <w:r>
        <w:rPr>
          <w:rStyle w:val="7"/>
          <w:rFonts w:ascii="Times New Roman" w:hAnsi="Times New Roman" w:cs="Times New Roman"/>
          <w:iCs/>
          <w:color w:val="000000" w:themeColor="text1"/>
          <w:sz w:val="24"/>
          <w:szCs w:val="24"/>
          <w:u w:val="none"/>
          <w:lang w:val="en-US"/>
          <w14:textFill>
            <w14:solidFill>
              <w14:schemeClr w14:val="tx1"/>
            </w14:solidFill>
          </w14:textFill>
        </w:rPr>
        <w:t>2024</w:t>
      </w:r>
      <w:r>
        <w:rPr>
          <w:rStyle w:val="7"/>
          <w:rFonts w:ascii="Times New Roman" w:hAnsi="Times New Roman" w:cs="Times New Roman"/>
          <w:color w:val="000000" w:themeColor="text1"/>
          <w:sz w:val="24"/>
          <w:szCs w:val="24"/>
          <w:u w:val="none"/>
          <w:lang w:val="en-US"/>
          <w14:textFill>
            <w14:solidFill>
              <w14:schemeClr w14:val="tx1"/>
            </w14:solidFill>
          </w14:textFill>
        </w:rPr>
        <w:t xml:space="preserve">, Vol. 55. Iss. 1, p. </w:t>
      </w:r>
      <w:r>
        <w:rPr>
          <w:rFonts w:ascii="Times New Roman" w:hAnsi="Times New Roman" w:cs="Times New Roman"/>
          <w:color w:val="222222"/>
          <w:sz w:val="24"/>
          <w:szCs w:val="24"/>
          <w:shd w:val="clear" w:color="auto" w:fill="FFFFFF"/>
          <w:lang w:val="en-US"/>
        </w:rPr>
        <w:t xml:space="preserve">93–129, </w:t>
      </w:r>
      <w:r>
        <w:rPr>
          <w:rFonts w:ascii="Times New Roman" w:hAnsi="Times New Roman" w:cs="Times New Roman"/>
          <w:bCs/>
          <w:color w:val="222222"/>
          <w:sz w:val="24"/>
          <w:szCs w:val="24"/>
          <w:lang w:val="en-US"/>
        </w:rPr>
        <w:t>DOI:</w:t>
      </w:r>
      <w:r>
        <w:rPr>
          <w:rFonts w:ascii="Times New Roman" w:hAnsi="Times New Roman" w:cs="Times New Roman"/>
          <w:color w:val="222222"/>
          <w:sz w:val="24"/>
          <w:szCs w:val="24"/>
          <w:lang w:val="en-US"/>
        </w:rPr>
        <w:t> </w:t>
      </w:r>
      <w:r>
        <w:rPr>
          <w:rFonts w:ascii="Times New Roman" w:hAnsi="Times New Roman" w:cs="Times New Roman"/>
          <w:sz w:val="24"/>
          <w:szCs w:val="24"/>
          <w:lang w:val="en-US"/>
        </w:rPr>
        <w:t>10.31857/s2949178924010079</w:t>
      </w:r>
      <w:r>
        <w:rPr>
          <w:rStyle w:val="7"/>
          <w:rFonts w:ascii="Times New Roman" w:hAnsi="Times New Roman" w:cs="Times New Roman"/>
          <w:color w:val="auto"/>
          <w:sz w:val="24"/>
          <w:szCs w:val="24"/>
          <w:u w:val="none"/>
          <w:lang w:val="en-US"/>
        </w:rPr>
        <w:t xml:space="preserve"> </w:t>
      </w:r>
    </w:p>
    <w:bookmarkEnd w:id="0"/>
    <w:p w14:paraId="720E742A">
      <w:pPr>
        <w:rPr>
          <w:lang w:val="en-US"/>
        </w:rPr>
      </w:pPr>
    </w:p>
    <w:p w14:paraId="305F4F0F">
      <w:pPr>
        <w:spacing w:after="0" w:line="360" w:lineRule="auto"/>
        <w:ind w:firstLine="709"/>
        <w:jc w:val="center"/>
        <w:rPr>
          <w:rFonts w:ascii="Times New Roman" w:hAnsi="Times New Roman" w:cs="Times New Roman"/>
          <w:sz w:val="24"/>
          <w:szCs w:val="24"/>
          <w:lang w:val="en-US"/>
        </w:rPr>
      </w:pPr>
      <w:r>
        <w:rPr>
          <w:rFonts w:ascii="Times New Roman" w:hAnsi="Times New Roman" w:cs="Times New Roman"/>
          <w:sz w:val="24"/>
          <w:szCs w:val="24"/>
          <w:lang w:val="en-US"/>
        </w:rPr>
        <w:t>TABLES</w:t>
      </w:r>
    </w:p>
    <w:p w14:paraId="135528E3">
      <w:pPr>
        <w:spacing w:after="0" w:line="360" w:lineRule="auto"/>
        <w:jc w:val="both"/>
        <w:rPr>
          <w:rFonts w:ascii="Times New Roman" w:hAnsi="Times New Roman" w:cs="Times New Roman"/>
          <w:sz w:val="24"/>
          <w:szCs w:val="24"/>
          <w:lang w:val="en-US"/>
        </w:rPr>
      </w:pPr>
      <w:commentRangeStart w:id="24"/>
      <w:r>
        <w:rPr>
          <w:rFonts w:ascii="Times New Roman" w:hAnsi="Times New Roman" w:cs="Times New Roman"/>
          <w:b/>
          <w:sz w:val="24"/>
          <w:szCs w:val="24"/>
          <w:highlight w:val="yellow"/>
          <w:lang w:val="en-US"/>
        </w:rPr>
        <w:t>Table 1</w:t>
      </w:r>
      <w:r>
        <w:rPr>
          <w:rFonts w:ascii="Times New Roman" w:hAnsi="Times New Roman" w:cs="Times New Roman"/>
          <w:sz w:val="24"/>
          <w:szCs w:val="24"/>
          <w:highlight w:val="yellow"/>
          <w:lang w:val="en-US"/>
        </w:rPr>
        <w:t xml:space="preserve">. </w:t>
      </w:r>
      <w:commentRangeEnd w:id="24"/>
      <w:r>
        <w:rPr>
          <w:rStyle w:val="5"/>
          <w:rFonts w:ascii="Times New Roman" w:hAnsi="Times New Roman" w:cs="Times New Roman"/>
          <w:sz w:val="24"/>
          <w:szCs w:val="24"/>
          <w:highlight w:val="yellow"/>
          <w:lang w:val="en-US"/>
        </w:rPr>
        <w:commentReference w:id="24"/>
      </w:r>
      <w:r>
        <w:rPr>
          <w:rFonts w:ascii="Times New Roman" w:hAnsi="Times New Roman" w:cs="Times New Roman"/>
          <w:sz w:val="24"/>
          <w:szCs w:val="24"/>
          <w:highlight w:val="yellow"/>
          <w:lang w:val="en-US"/>
        </w:rPr>
        <w:t>Summary of OSL dating conducted on quartz aliquots of the 180–250 μm grain-size fraction.</w:t>
      </w:r>
      <w:r>
        <w:rPr>
          <w:rFonts w:ascii="Times New Roman" w:hAnsi="Times New Roman" w:cs="Times New Roman"/>
          <w:sz w:val="24"/>
          <w:szCs w:val="24"/>
          <w:highlight w:val="yellow"/>
          <w:lang w:val="en-GB"/>
        </w:rPr>
        <w:t xml:space="preserve"> WC – water content; </w:t>
      </w:r>
      <w:r>
        <w:rPr>
          <w:rFonts w:ascii="Times New Roman" w:hAnsi="Times New Roman" w:cs="Times New Roman"/>
          <w:sz w:val="24"/>
          <w:szCs w:val="24"/>
          <w:highlight w:val="yellow"/>
          <w:lang w:val="en-US"/>
        </w:rPr>
        <w:t>n - number of accepted (</w:t>
      </w:r>
      <w:r>
        <w:rPr>
          <w:rFonts w:ascii="Times New Roman" w:hAnsi="Times New Roman" w:cs="Times New Roman"/>
          <w:sz w:val="24"/>
          <w:szCs w:val="24"/>
          <w:highlight w:val="yellow"/>
          <w:lang w:val="en-GB"/>
        </w:rPr>
        <w:t>a</w:t>
      </w:r>
      <w:r>
        <w:rPr>
          <w:rFonts w:ascii="Times New Roman" w:hAnsi="Times New Roman" w:cs="Times New Roman"/>
          <w:sz w:val="24"/>
          <w:szCs w:val="24"/>
          <w:highlight w:val="yellow"/>
          <w:lang w:val="en-US"/>
        </w:rPr>
        <w:t>) and measured (</w:t>
      </w:r>
      <w:r>
        <w:rPr>
          <w:rFonts w:ascii="Times New Roman" w:hAnsi="Times New Roman" w:cs="Times New Roman"/>
          <w:sz w:val="24"/>
          <w:szCs w:val="24"/>
          <w:highlight w:val="yellow"/>
          <w:lang w:val="en-GB"/>
        </w:rPr>
        <w:t>m</w:t>
      </w:r>
      <w:r>
        <w:rPr>
          <w:rFonts w:ascii="Times New Roman" w:hAnsi="Times New Roman" w:cs="Times New Roman"/>
          <w:sz w:val="24"/>
          <w:szCs w:val="24"/>
          <w:highlight w:val="yellow"/>
          <w:lang w:val="en-US"/>
        </w:rPr>
        <w:t xml:space="preserve">) aliquots; </w:t>
      </w:r>
      <w:r>
        <w:rPr>
          <w:rFonts w:ascii="Times New Roman" w:hAnsi="Times New Roman" w:cs="Times New Roman"/>
          <w:i/>
          <w:iCs/>
          <w:sz w:val="24"/>
          <w:szCs w:val="24"/>
          <w:highlight w:val="yellow"/>
          <w:lang w:val="en-US"/>
        </w:rPr>
        <w:t>D</w:t>
      </w:r>
      <w:r>
        <w:rPr>
          <w:rFonts w:ascii="Times New Roman" w:hAnsi="Times New Roman" w:cs="Times New Roman"/>
          <w:i/>
          <w:iCs/>
          <w:sz w:val="24"/>
          <w:szCs w:val="24"/>
          <w:highlight w:val="yellow"/>
          <w:vertAlign w:val="subscript"/>
          <w:lang w:val="en-US"/>
        </w:rPr>
        <w:t>e</w:t>
      </w:r>
      <w:r>
        <w:rPr>
          <w:rFonts w:ascii="Times New Roman" w:hAnsi="Times New Roman" w:cs="Times New Roman"/>
          <w:sz w:val="24"/>
          <w:szCs w:val="24"/>
          <w:highlight w:val="yellow"/>
          <w:lang w:val="en-US"/>
        </w:rPr>
        <w:t xml:space="preserve"> - equivalent dose; The uncertainties are given with a standard error (±1σ, P≈68%).</w:t>
      </w:r>
    </w:p>
    <w:tbl>
      <w:tblPr>
        <w:tblStyle w:val="14"/>
        <w:tblW w:w="94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992"/>
        <w:gridCol w:w="425"/>
        <w:gridCol w:w="567"/>
        <w:gridCol w:w="709"/>
        <w:gridCol w:w="709"/>
        <w:gridCol w:w="850"/>
        <w:gridCol w:w="992"/>
        <w:gridCol w:w="709"/>
        <w:gridCol w:w="1134"/>
        <w:gridCol w:w="992"/>
        <w:gridCol w:w="993"/>
      </w:tblGrid>
      <w:tr w14:paraId="498E7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blHeader/>
        </w:trPr>
        <w:tc>
          <w:tcPr>
            <w:tcW w:w="426" w:type="dxa"/>
            <w:vMerge w:val="restart"/>
            <w:vAlign w:val="center"/>
          </w:tcPr>
          <w:p w14:paraId="508C1E49">
            <w:pPr>
              <w:spacing w:after="0" w:line="240" w:lineRule="auto"/>
              <w:ind w:left="-120" w:right="-102"/>
              <w:contextualSpacing/>
              <w:jc w:val="center"/>
              <w:rPr>
                <w:rFonts w:ascii="Times New Roman" w:hAnsi="Times New Roman" w:cs="Times New Roman"/>
                <w:sz w:val="20"/>
                <w:szCs w:val="20"/>
              </w:rPr>
            </w:pPr>
            <w:r>
              <w:rPr>
                <w:rFonts w:ascii="Times New Roman" w:hAnsi="Times New Roman" w:cs="Times New Roman"/>
                <w:sz w:val="20"/>
                <w:szCs w:val="20"/>
                <w:lang w:val="de-DE"/>
              </w:rPr>
              <w:t>No</w:t>
            </w:r>
          </w:p>
        </w:tc>
        <w:tc>
          <w:tcPr>
            <w:tcW w:w="992" w:type="dxa"/>
            <w:vMerge w:val="restart"/>
            <w:vAlign w:val="center"/>
          </w:tcPr>
          <w:p w14:paraId="675FB95A">
            <w:pPr>
              <w:spacing w:after="0" w:line="240" w:lineRule="auto"/>
              <w:ind w:left="-107" w:right="-103"/>
              <w:contextualSpacing/>
              <w:jc w:val="center"/>
              <w:rPr>
                <w:rFonts w:ascii="Times New Roman" w:hAnsi="Times New Roman" w:cs="Times New Roman"/>
                <w:sz w:val="20"/>
                <w:szCs w:val="20"/>
              </w:rPr>
            </w:pPr>
            <w:r>
              <w:rPr>
                <w:rFonts w:ascii="Times New Roman" w:hAnsi="Times New Roman" w:cs="Times New Roman"/>
                <w:sz w:val="20"/>
                <w:szCs w:val="20"/>
                <w:lang w:val="de-DE"/>
              </w:rPr>
              <w:t>Lab code</w:t>
            </w:r>
          </w:p>
        </w:tc>
        <w:tc>
          <w:tcPr>
            <w:tcW w:w="425" w:type="dxa"/>
            <w:vMerge w:val="restart"/>
          </w:tcPr>
          <w:p w14:paraId="06D92E22">
            <w:pPr>
              <w:spacing w:after="0" w:line="240" w:lineRule="auto"/>
              <w:contextualSpacing/>
              <w:rPr>
                <w:rFonts w:ascii="Times New Roman" w:hAnsi="Times New Roman" w:cs="Times New Roman"/>
                <w:sz w:val="20"/>
                <w:szCs w:val="20"/>
                <w:lang w:val="en-US"/>
              </w:rPr>
            </w:pPr>
            <w:r>
              <w:rPr>
                <w:rFonts w:ascii="Times New Roman" w:hAnsi="Times New Roman" w:cs="Times New Roman"/>
                <w:sz w:val="20"/>
                <w:szCs w:val="20"/>
                <w:lang w:val="en-US"/>
              </w:rPr>
              <w:t>M</w:t>
            </w:r>
          </w:p>
        </w:tc>
        <w:tc>
          <w:tcPr>
            <w:tcW w:w="567" w:type="dxa"/>
            <w:vMerge w:val="restart"/>
            <w:vAlign w:val="center"/>
          </w:tcPr>
          <w:p w14:paraId="756EF723">
            <w:pPr>
              <w:spacing w:after="0" w:line="240" w:lineRule="auto"/>
              <w:ind w:left="-107" w:right="-102"/>
              <w:contextualSpacing/>
              <w:jc w:val="center"/>
              <w:rPr>
                <w:rFonts w:ascii="Times New Roman" w:hAnsi="Times New Roman" w:cs="Times New Roman"/>
                <w:sz w:val="20"/>
                <w:szCs w:val="20"/>
                <w:lang w:val="de-DE"/>
              </w:rPr>
            </w:pPr>
            <w:r>
              <w:rPr>
                <w:rFonts w:ascii="Times New Roman" w:hAnsi="Times New Roman" w:cs="Times New Roman"/>
                <w:sz w:val="20"/>
                <w:szCs w:val="20"/>
                <w:lang w:val="de-DE"/>
              </w:rPr>
              <w:t>WC</w:t>
            </w:r>
          </w:p>
          <w:p w14:paraId="1E6C3C85">
            <w:pPr>
              <w:spacing w:after="0" w:line="240" w:lineRule="auto"/>
              <w:ind w:left="-107" w:right="-102"/>
              <w:contextualSpacing/>
              <w:jc w:val="center"/>
              <w:rPr>
                <w:rFonts w:ascii="Times New Roman" w:hAnsi="Times New Roman" w:cs="Times New Roman"/>
                <w:sz w:val="20"/>
                <w:szCs w:val="20"/>
              </w:rPr>
            </w:pPr>
            <w:r>
              <w:rPr>
                <w:rFonts w:ascii="Times New Roman" w:hAnsi="Times New Roman" w:cs="Times New Roman"/>
                <w:sz w:val="20"/>
                <w:szCs w:val="20"/>
                <w:lang w:val="en-US"/>
              </w:rPr>
              <w:t>(</w:t>
            </w:r>
            <w:r>
              <w:rPr>
                <w:rFonts w:ascii="Times New Roman" w:hAnsi="Times New Roman" w:cs="Times New Roman"/>
                <w:sz w:val="20"/>
                <w:szCs w:val="20"/>
              </w:rPr>
              <w:t>%</w:t>
            </w:r>
            <w:r>
              <w:rPr>
                <w:rFonts w:ascii="Times New Roman" w:hAnsi="Times New Roman" w:cs="Times New Roman"/>
                <w:sz w:val="20"/>
                <w:szCs w:val="20"/>
                <w:lang w:val="en-US"/>
              </w:rPr>
              <w:t>)</w:t>
            </w:r>
          </w:p>
        </w:tc>
        <w:tc>
          <w:tcPr>
            <w:tcW w:w="709" w:type="dxa"/>
            <w:vMerge w:val="restart"/>
            <w:vAlign w:val="center"/>
          </w:tcPr>
          <w:p w14:paraId="2E88349B">
            <w:pPr>
              <w:spacing w:after="0" w:line="240" w:lineRule="auto"/>
              <w:ind w:left="-107" w:right="-60"/>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n</w:t>
            </w:r>
          </w:p>
          <w:p w14:paraId="5BD0EAAF">
            <w:pPr>
              <w:spacing w:after="0" w:line="240" w:lineRule="auto"/>
              <w:ind w:left="-107" w:right="-60"/>
              <w:contextualSpacing/>
              <w:jc w:val="center"/>
              <w:rPr>
                <w:rFonts w:ascii="Times New Roman" w:hAnsi="Times New Roman" w:cs="Times New Roman"/>
                <w:sz w:val="20"/>
                <w:szCs w:val="20"/>
              </w:rPr>
            </w:pPr>
            <w:r>
              <w:rPr>
                <w:rFonts w:ascii="Times New Roman" w:hAnsi="Times New Roman" w:cs="Times New Roman"/>
                <w:sz w:val="20"/>
                <w:szCs w:val="20"/>
                <w:lang w:val="en-US"/>
              </w:rPr>
              <w:t>(</w:t>
            </w:r>
            <w:r>
              <w:rPr>
                <w:rFonts w:ascii="Times New Roman" w:hAnsi="Times New Roman" w:cs="Times New Roman"/>
                <w:sz w:val="20"/>
                <w:szCs w:val="20"/>
                <w:lang w:val="de-DE"/>
              </w:rPr>
              <w:t>a</w:t>
            </w:r>
            <w:r>
              <w:rPr>
                <w:rFonts w:ascii="Times New Roman" w:hAnsi="Times New Roman" w:cs="Times New Roman"/>
                <w:sz w:val="20"/>
                <w:szCs w:val="20"/>
                <w:lang w:val="en-US"/>
              </w:rPr>
              <w:t>/</w:t>
            </w:r>
            <w:r>
              <w:rPr>
                <w:rFonts w:ascii="Times New Roman" w:hAnsi="Times New Roman" w:cs="Times New Roman"/>
                <w:sz w:val="20"/>
                <w:szCs w:val="20"/>
                <w:lang w:val="de-DE"/>
              </w:rPr>
              <w:t>m</w:t>
            </w:r>
            <w:r>
              <w:rPr>
                <w:rFonts w:ascii="Times New Roman" w:hAnsi="Times New Roman" w:cs="Times New Roman"/>
                <w:sz w:val="20"/>
                <w:szCs w:val="20"/>
                <w:lang w:val="en-US"/>
              </w:rPr>
              <w:t>)</w:t>
            </w:r>
          </w:p>
        </w:tc>
        <w:tc>
          <w:tcPr>
            <w:tcW w:w="3260" w:type="dxa"/>
            <w:gridSpan w:val="4"/>
            <w:vAlign w:val="center"/>
          </w:tcPr>
          <w:p w14:paraId="7A0607A5">
            <w:pPr>
              <w:spacing w:after="0" w:line="240" w:lineRule="auto"/>
              <w:ind w:left="-8" w:right="-112"/>
              <w:contextualSpacing/>
              <w:jc w:val="center"/>
              <w:rPr>
                <w:rFonts w:ascii="Times New Roman" w:hAnsi="Times New Roman" w:cs="Times New Roman"/>
                <w:sz w:val="20"/>
                <w:szCs w:val="20"/>
              </w:rPr>
            </w:pPr>
            <w:r>
              <w:rPr>
                <w:rFonts w:ascii="Times New Roman" w:hAnsi="Times New Roman" w:cs="Times New Roman"/>
                <w:sz w:val="20"/>
                <w:szCs w:val="20"/>
                <w:lang w:val="de-DE"/>
              </w:rPr>
              <w:t>Specific activity</w:t>
            </w:r>
            <w:r>
              <w:rPr>
                <w:rFonts w:ascii="Times New Roman" w:hAnsi="Times New Roman" w:cs="Times New Roman"/>
                <w:sz w:val="20"/>
                <w:szCs w:val="20"/>
              </w:rPr>
              <w:t xml:space="preserve"> (</w:t>
            </w:r>
            <w:r>
              <w:rPr>
                <w:rFonts w:ascii="Times New Roman" w:hAnsi="Times New Roman" w:cs="Times New Roman"/>
                <w:sz w:val="20"/>
                <w:szCs w:val="20"/>
                <w:lang w:val="de-DE"/>
              </w:rPr>
              <w:t>Bq kg</w:t>
            </w:r>
            <w:r>
              <w:rPr>
                <w:rFonts w:ascii="Times New Roman" w:hAnsi="Times New Roman" w:cs="Times New Roman"/>
                <w:sz w:val="20"/>
                <w:szCs w:val="20"/>
                <w:vertAlign w:val="superscript"/>
                <w:lang w:val="de-DE"/>
              </w:rPr>
              <w:t>-1</w:t>
            </w:r>
            <w:r>
              <w:rPr>
                <w:rFonts w:ascii="Times New Roman" w:hAnsi="Times New Roman" w:cs="Times New Roman"/>
                <w:sz w:val="20"/>
                <w:szCs w:val="20"/>
              </w:rPr>
              <w:t>)</w:t>
            </w:r>
          </w:p>
        </w:tc>
        <w:tc>
          <w:tcPr>
            <w:tcW w:w="1134" w:type="dxa"/>
            <w:vMerge w:val="restart"/>
            <w:vAlign w:val="center"/>
          </w:tcPr>
          <w:p w14:paraId="5A001046">
            <w:pPr>
              <w:spacing w:after="0" w:line="240" w:lineRule="auto"/>
              <w:ind w:left="-104" w:right="-113"/>
              <w:contextualSpacing/>
              <w:jc w:val="center"/>
              <w:rPr>
                <w:rFonts w:ascii="Times New Roman" w:hAnsi="Times New Roman" w:cs="Times New Roman"/>
                <w:sz w:val="20"/>
                <w:szCs w:val="20"/>
              </w:rPr>
            </w:pPr>
            <w:r>
              <w:rPr>
                <w:rFonts w:ascii="Times New Roman" w:hAnsi="Times New Roman" w:cs="Times New Roman"/>
                <w:sz w:val="20"/>
                <w:szCs w:val="20"/>
                <w:lang w:val="de-DE"/>
              </w:rPr>
              <w:t>Dose</w:t>
            </w:r>
            <w:r>
              <w:rPr>
                <w:rFonts w:ascii="Times New Roman" w:hAnsi="Times New Roman" w:cs="Times New Roman"/>
                <w:sz w:val="20"/>
                <w:szCs w:val="20"/>
              </w:rPr>
              <w:t xml:space="preserve"> </w:t>
            </w:r>
            <w:r>
              <w:rPr>
                <w:rFonts w:ascii="Times New Roman" w:hAnsi="Times New Roman" w:cs="Times New Roman"/>
                <w:sz w:val="20"/>
                <w:szCs w:val="20"/>
                <w:lang w:val="de-DE"/>
              </w:rPr>
              <w:t>rate</w:t>
            </w:r>
          </w:p>
          <w:p w14:paraId="729F95E3">
            <w:pPr>
              <w:spacing w:after="0" w:line="240" w:lineRule="auto"/>
              <w:ind w:left="-104" w:right="-113"/>
              <w:contextualSpacing/>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lang w:val="de-DE"/>
              </w:rPr>
              <w:t>Gy ka</w:t>
            </w:r>
            <w:r>
              <w:rPr>
                <w:rFonts w:ascii="Times New Roman" w:hAnsi="Times New Roman" w:cs="Times New Roman"/>
                <w:sz w:val="20"/>
                <w:szCs w:val="20"/>
                <w:vertAlign w:val="superscript"/>
                <w:lang w:val="de-DE"/>
              </w:rPr>
              <w:t>-1</w:t>
            </w:r>
            <w:r>
              <w:rPr>
                <w:rFonts w:ascii="Times New Roman" w:hAnsi="Times New Roman" w:cs="Times New Roman"/>
                <w:sz w:val="20"/>
                <w:szCs w:val="20"/>
              </w:rPr>
              <w:t>)</w:t>
            </w:r>
          </w:p>
        </w:tc>
        <w:tc>
          <w:tcPr>
            <w:tcW w:w="992" w:type="dxa"/>
            <w:vMerge w:val="restart"/>
            <w:tcBorders>
              <w:right w:val="single" w:color="auto" w:sz="4" w:space="0"/>
            </w:tcBorders>
            <w:vAlign w:val="center"/>
          </w:tcPr>
          <w:p w14:paraId="5F60EE0B">
            <w:pPr>
              <w:spacing w:after="0" w:line="240" w:lineRule="auto"/>
              <w:ind w:left="-111" w:right="-165"/>
              <w:contextualSpacing/>
              <w:jc w:val="center"/>
              <w:rPr>
                <w:rFonts w:ascii="Times New Roman" w:hAnsi="Times New Roman" w:cs="Times New Roman"/>
                <w:sz w:val="20"/>
                <w:szCs w:val="20"/>
                <w:lang w:val="en-US"/>
              </w:rPr>
            </w:pPr>
            <w:r>
              <w:rPr>
                <w:rFonts w:ascii="Times New Roman" w:hAnsi="Times New Roman" w:cs="Times New Roman"/>
                <w:bCs/>
                <w:i/>
                <w:iCs/>
                <w:sz w:val="20"/>
                <w:szCs w:val="20"/>
                <w:lang w:val="de-DE"/>
              </w:rPr>
              <w:t>D</w:t>
            </w:r>
            <w:r>
              <w:rPr>
                <w:rFonts w:ascii="Times New Roman" w:hAnsi="Times New Roman" w:cs="Times New Roman"/>
                <w:bCs/>
                <w:i/>
                <w:iCs/>
                <w:sz w:val="20"/>
                <w:szCs w:val="20"/>
                <w:vertAlign w:val="subscript"/>
                <w:lang w:val="de-DE"/>
              </w:rPr>
              <w:t>e</w:t>
            </w:r>
            <w:r>
              <w:rPr>
                <w:rFonts w:ascii="Times New Roman" w:hAnsi="Times New Roman" w:cs="Times New Roman"/>
                <w:bCs/>
                <w:sz w:val="20"/>
                <w:szCs w:val="20"/>
              </w:rPr>
              <w:t xml:space="preserve"> (</w:t>
            </w:r>
            <w:r>
              <w:rPr>
                <w:rFonts w:ascii="Times New Roman" w:hAnsi="Times New Roman" w:cs="Times New Roman"/>
                <w:bCs/>
                <w:sz w:val="20"/>
                <w:szCs w:val="20"/>
                <w:lang w:val="de-DE"/>
              </w:rPr>
              <w:t>Gy</w:t>
            </w:r>
            <w:r>
              <w:rPr>
                <w:rFonts w:ascii="Times New Roman" w:hAnsi="Times New Roman" w:cs="Times New Roman"/>
                <w:bCs/>
                <w:sz w:val="20"/>
                <w:szCs w:val="20"/>
              </w:rPr>
              <w:t>)</w:t>
            </w:r>
          </w:p>
        </w:tc>
        <w:tc>
          <w:tcPr>
            <w:tcW w:w="993" w:type="dxa"/>
            <w:vMerge w:val="restart"/>
            <w:tcBorders>
              <w:top w:val="single" w:color="auto" w:sz="4" w:space="0"/>
              <w:left w:val="single" w:color="auto" w:sz="4" w:space="0"/>
              <w:right w:val="single" w:color="auto" w:sz="4" w:space="0"/>
            </w:tcBorders>
            <w:vAlign w:val="center"/>
          </w:tcPr>
          <w:p w14:paraId="52B53E3B">
            <w:pPr>
              <w:spacing w:after="0" w:line="240" w:lineRule="auto"/>
              <w:contextualSpacing/>
              <w:jc w:val="center"/>
              <w:rPr>
                <w:rFonts w:ascii="Times New Roman" w:hAnsi="Times New Roman" w:cs="Times New Roman"/>
                <w:b/>
                <w:sz w:val="20"/>
                <w:szCs w:val="20"/>
                <w:lang w:val="de-DE"/>
              </w:rPr>
            </w:pPr>
            <w:r>
              <w:rPr>
                <w:rFonts w:ascii="Times New Roman" w:hAnsi="Times New Roman" w:cs="Times New Roman"/>
                <w:b/>
                <w:sz w:val="20"/>
                <w:szCs w:val="20"/>
                <w:lang w:val="de-DE"/>
              </w:rPr>
              <w:t>Age</w:t>
            </w:r>
          </w:p>
          <w:p w14:paraId="409B7580">
            <w:pPr>
              <w:spacing w:after="0" w:line="240" w:lineRule="auto"/>
              <w:contextualSpacing/>
              <w:jc w:val="center"/>
              <w:rPr>
                <w:rFonts w:ascii="Times New Roman" w:hAnsi="Times New Roman" w:cs="Times New Roman"/>
                <w:b/>
                <w:sz w:val="20"/>
                <w:szCs w:val="20"/>
              </w:rPr>
            </w:pPr>
            <w:r>
              <w:rPr>
                <w:rFonts w:ascii="Times New Roman" w:hAnsi="Times New Roman" w:cs="Times New Roman"/>
                <w:sz w:val="20"/>
                <w:szCs w:val="20"/>
              </w:rPr>
              <w:t>(</w:t>
            </w:r>
            <w:r>
              <w:rPr>
                <w:rFonts w:ascii="Times New Roman" w:hAnsi="Times New Roman" w:cs="Times New Roman"/>
                <w:sz w:val="20"/>
                <w:szCs w:val="20"/>
                <w:lang w:val="de-DE"/>
              </w:rPr>
              <w:t>ka</w:t>
            </w:r>
            <w:r>
              <w:rPr>
                <w:rFonts w:ascii="Times New Roman" w:hAnsi="Times New Roman" w:cs="Times New Roman"/>
                <w:sz w:val="20"/>
                <w:szCs w:val="20"/>
              </w:rPr>
              <w:t>)</w:t>
            </w:r>
          </w:p>
        </w:tc>
      </w:tr>
      <w:tr w14:paraId="11EC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 w:type="dxa"/>
            <w:vMerge w:val="continue"/>
            <w:vAlign w:val="center"/>
          </w:tcPr>
          <w:p w14:paraId="771A984C">
            <w:pPr>
              <w:spacing w:after="0" w:line="240" w:lineRule="auto"/>
              <w:contextualSpacing/>
              <w:jc w:val="center"/>
              <w:rPr>
                <w:rFonts w:ascii="Times New Roman" w:hAnsi="Times New Roman" w:cs="Times New Roman"/>
                <w:sz w:val="20"/>
                <w:szCs w:val="20"/>
              </w:rPr>
            </w:pPr>
          </w:p>
        </w:tc>
        <w:tc>
          <w:tcPr>
            <w:tcW w:w="992" w:type="dxa"/>
            <w:vMerge w:val="continue"/>
            <w:vAlign w:val="center"/>
          </w:tcPr>
          <w:p w14:paraId="318ECD1B">
            <w:pPr>
              <w:spacing w:after="0" w:line="240" w:lineRule="auto"/>
              <w:ind w:left="-107" w:right="-103"/>
              <w:contextualSpacing/>
              <w:jc w:val="center"/>
              <w:rPr>
                <w:rFonts w:ascii="Times New Roman" w:hAnsi="Times New Roman" w:cs="Times New Roman"/>
                <w:sz w:val="20"/>
                <w:szCs w:val="20"/>
              </w:rPr>
            </w:pPr>
          </w:p>
        </w:tc>
        <w:tc>
          <w:tcPr>
            <w:tcW w:w="425" w:type="dxa"/>
            <w:vMerge w:val="continue"/>
          </w:tcPr>
          <w:p w14:paraId="4B13126F">
            <w:pPr>
              <w:spacing w:after="0" w:line="240" w:lineRule="auto"/>
              <w:contextualSpacing/>
              <w:rPr>
                <w:rFonts w:ascii="Times New Roman" w:hAnsi="Times New Roman" w:cs="Times New Roman"/>
                <w:sz w:val="20"/>
                <w:szCs w:val="20"/>
              </w:rPr>
            </w:pPr>
          </w:p>
        </w:tc>
        <w:tc>
          <w:tcPr>
            <w:tcW w:w="567" w:type="dxa"/>
            <w:vMerge w:val="continue"/>
            <w:vAlign w:val="center"/>
          </w:tcPr>
          <w:p w14:paraId="0A29D69E">
            <w:pPr>
              <w:spacing w:after="0" w:line="240" w:lineRule="auto"/>
              <w:ind w:left="-107" w:right="-102"/>
              <w:contextualSpacing/>
              <w:jc w:val="center"/>
              <w:rPr>
                <w:rFonts w:ascii="Times New Roman" w:hAnsi="Times New Roman" w:cs="Times New Roman"/>
                <w:sz w:val="20"/>
                <w:szCs w:val="20"/>
              </w:rPr>
            </w:pPr>
          </w:p>
        </w:tc>
        <w:tc>
          <w:tcPr>
            <w:tcW w:w="709" w:type="dxa"/>
            <w:vMerge w:val="continue"/>
            <w:vAlign w:val="center"/>
          </w:tcPr>
          <w:p w14:paraId="337DB46D">
            <w:pPr>
              <w:spacing w:after="0" w:line="240" w:lineRule="auto"/>
              <w:contextualSpacing/>
              <w:jc w:val="center"/>
              <w:rPr>
                <w:rFonts w:ascii="Times New Roman" w:hAnsi="Times New Roman" w:cs="Times New Roman"/>
                <w:sz w:val="20"/>
                <w:szCs w:val="20"/>
              </w:rPr>
            </w:pPr>
          </w:p>
        </w:tc>
        <w:tc>
          <w:tcPr>
            <w:tcW w:w="709" w:type="dxa"/>
            <w:vAlign w:val="center"/>
          </w:tcPr>
          <w:p w14:paraId="3A92C815">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238</w:t>
            </w:r>
            <w:r>
              <w:rPr>
                <w:rFonts w:ascii="Times New Roman" w:hAnsi="Times New Roman" w:cs="Times New Roman"/>
                <w:sz w:val="20"/>
                <w:szCs w:val="20"/>
                <w:lang w:val="en-US"/>
              </w:rPr>
              <w:t>U</w:t>
            </w:r>
          </w:p>
        </w:tc>
        <w:tc>
          <w:tcPr>
            <w:tcW w:w="850" w:type="dxa"/>
            <w:vAlign w:val="center"/>
          </w:tcPr>
          <w:p w14:paraId="607DFC8F">
            <w:pPr>
              <w:spacing w:after="0" w:line="240" w:lineRule="auto"/>
              <w:ind w:left="-149"/>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226</w:t>
            </w:r>
            <w:r>
              <w:rPr>
                <w:rFonts w:ascii="Times New Roman" w:hAnsi="Times New Roman" w:cs="Times New Roman"/>
                <w:sz w:val="20"/>
                <w:szCs w:val="20"/>
                <w:lang w:val="en-US"/>
              </w:rPr>
              <w:t>Ra</w:t>
            </w:r>
          </w:p>
        </w:tc>
        <w:tc>
          <w:tcPr>
            <w:tcW w:w="992" w:type="dxa"/>
            <w:vAlign w:val="center"/>
          </w:tcPr>
          <w:p w14:paraId="6525A873">
            <w:pPr>
              <w:spacing w:after="0" w:line="240" w:lineRule="auto"/>
              <w:ind w:left="-149" w:right="-102"/>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232</w:t>
            </w:r>
            <w:r>
              <w:rPr>
                <w:rFonts w:ascii="Times New Roman" w:hAnsi="Times New Roman" w:cs="Times New Roman"/>
                <w:sz w:val="20"/>
                <w:szCs w:val="20"/>
                <w:lang w:val="en-US"/>
              </w:rPr>
              <w:t>Th</w:t>
            </w:r>
          </w:p>
        </w:tc>
        <w:tc>
          <w:tcPr>
            <w:tcW w:w="709" w:type="dxa"/>
            <w:vAlign w:val="center"/>
          </w:tcPr>
          <w:p w14:paraId="0126304D">
            <w:pPr>
              <w:spacing w:after="0" w:line="240" w:lineRule="auto"/>
              <w:ind w:left="-149" w:right="-112"/>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40</w:t>
            </w:r>
            <w:r>
              <w:rPr>
                <w:rFonts w:ascii="Times New Roman" w:hAnsi="Times New Roman" w:cs="Times New Roman"/>
                <w:sz w:val="20"/>
                <w:szCs w:val="20"/>
                <w:lang w:val="en-US"/>
              </w:rPr>
              <w:t>K</w:t>
            </w:r>
          </w:p>
        </w:tc>
        <w:tc>
          <w:tcPr>
            <w:tcW w:w="1134" w:type="dxa"/>
            <w:vMerge w:val="continue"/>
            <w:vAlign w:val="center"/>
          </w:tcPr>
          <w:p w14:paraId="768111B3">
            <w:pPr>
              <w:spacing w:after="0" w:line="240" w:lineRule="auto"/>
              <w:contextualSpacing/>
              <w:jc w:val="center"/>
              <w:rPr>
                <w:rFonts w:ascii="Times New Roman" w:hAnsi="Times New Roman" w:cs="Times New Roman"/>
                <w:sz w:val="20"/>
                <w:szCs w:val="20"/>
              </w:rPr>
            </w:pPr>
          </w:p>
        </w:tc>
        <w:tc>
          <w:tcPr>
            <w:tcW w:w="992" w:type="dxa"/>
            <w:vMerge w:val="continue"/>
            <w:tcBorders>
              <w:right w:val="single" w:color="auto" w:sz="4" w:space="0"/>
            </w:tcBorders>
            <w:vAlign w:val="center"/>
          </w:tcPr>
          <w:p w14:paraId="1E77ACA5">
            <w:pPr>
              <w:spacing w:after="0" w:line="240" w:lineRule="auto"/>
              <w:ind w:left="-113" w:right="-111"/>
              <w:contextualSpacing/>
              <w:rPr>
                <w:rFonts w:ascii="Times New Roman" w:hAnsi="Times New Roman" w:cs="Times New Roman"/>
                <w:sz w:val="20"/>
                <w:szCs w:val="20"/>
                <w:lang w:val="en-US"/>
              </w:rPr>
            </w:pPr>
          </w:p>
        </w:tc>
        <w:tc>
          <w:tcPr>
            <w:tcW w:w="993" w:type="dxa"/>
            <w:vMerge w:val="continue"/>
            <w:tcBorders>
              <w:left w:val="single" w:color="auto" w:sz="4" w:space="0"/>
              <w:bottom w:val="single" w:color="auto" w:sz="4" w:space="0"/>
              <w:right w:val="single" w:color="auto" w:sz="4" w:space="0"/>
            </w:tcBorders>
            <w:vAlign w:val="center"/>
          </w:tcPr>
          <w:p w14:paraId="5D0DB50C">
            <w:pPr>
              <w:spacing w:after="0" w:line="240" w:lineRule="auto"/>
              <w:contextualSpacing/>
              <w:jc w:val="center"/>
              <w:rPr>
                <w:rFonts w:ascii="Times New Roman" w:hAnsi="Times New Roman" w:cs="Times New Roman"/>
                <w:b/>
                <w:sz w:val="20"/>
                <w:szCs w:val="20"/>
              </w:rPr>
            </w:pPr>
          </w:p>
        </w:tc>
      </w:tr>
      <w:tr w14:paraId="0328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3F987128">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c>
          <w:tcPr>
            <w:tcW w:w="992" w:type="dxa"/>
            <w:vAlign w:val="center"/>
          </w:tcPr>
          <w:p w14:paraId="747B68F4">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13</w:t>
            </w:r>
          </w:p>
        </w:tc>
        <w:tc>
          <w:tcPr>
            <w:tcW w:w="425" w:type="dxa"/>
            <w:vAlign w:val="center"/>
          </w:tcPr>
          <w:p w14:paraId="0171AC30">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174173E2">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27</w:t>
            </w:r>
          </w:p>
        </w:tc>
        <w:tc>
          <w:tcPr>
            <w:tcW w:w="709" w:type="dxa"/>
            <w:vAlign w:val="center"/>
          </w:tcPr>
          <w:p w14:paraId="0476BF65">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10/18</w:t>
            </w:r>
          </w:p>
        </w:tc>
        <w:tc>
          <w:tcPr>
            <w:tcW w:w="709" w:type="dxa"/>
            <w:vAlign w:val="center"/>
          </w:tcPr>
          <w:p w14:paraId="41F92E30">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8±2</w:t>
            </w:r>
          </w:p>
        </w:tc>
        <w:tc>
          <w:tcPr>
            <w:tcW w:w="850" w:type="dxa"/>
            <w:vAlign w:val="center"/>
          </w:tcPr>
          <w:p w14:paraId="03EAD8A2">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11.0±0.3</w:t>
            </w:r>
          </w:p>
        </w:tc>
        <w:tc>
          <w:tcPr>
            <w:tcW w:w="992" w:type="dxa"/>
            <w:vAlign w:val="center"/>
          </w:tcPr>
          <w:p w14:paraId="6C497AF1">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14.9±0.2</w:t>
            </w:r>
          </w:p>
        </w:tc>
        <w:tc>
          <w:tcPr>
            <w:tcW w:w="709" w:type="dxa"/>
            <w:vAlign w:val="center"/>
          </w:tcPr>
          <w:p w14:paraId="7C98EBD6">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381±19</w:t>
            </w:r>
          </w:p>
        </w:tc>
        <w:tc>
          <w:tcPr>
            <w:tcW w:w="1134" w:type="dxa"/>
            <w:vAlign w:val="center"/>
          </w:tcPr>
          <w:p w14:paraId="73832687">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1.45±0.06</w:t>
            </w:r>
          </w:p>
        </w:tc>
        <w:tc>
          <w:tcPr>
            <w:tcW w:w="992" w:type="dxa"/>
            <w:vAlign w:val="center"/>
          </w:tcPr>
          <w:p w14:paraId="74D267FD">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22.5±3.2</w:t>
            </w:r>
          </w:p>
        </w:tc>
        <w:tc>
          <w:tcPr>
            <w:tcW w:w="993" w:type="dxa"/>
            <w:vAlign w:val="center"/>
          </w:tcPr>
          <w:p w14:paraId="509F4DF7">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15.5±2.3</w:t>
            </w:r>
          </w:p>
        </w:tc>
      </w:tr>
      <w:tr w14:paraId="109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11093C0B">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992" w:type="dxa"/>
            <w:vAlign w:val="center"/>
          </w:tcPr>
          <w:p w14:paraId="0D753156">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14</w:t>
            </w:r>
          </w:p>
        </w:tc>
        <w:tc>
          <w:tcPr>
            <w:tcW w:w="425" w:type="dxa"/>
            <w:vAlign w:val="center"/>
          </w:tcPr>
          <w:p w14:paraId="7774C14F">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51D93659">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709" w:type="dxa"/>
            <w:vAlign w:val="center"/>
          </w:tcPr>
          <w:p w14:paraId="60BD42C7">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rPr>
              <w:t>17/</w:t>
            </w:r>
            <w:r>
              <w:rPr>
                <w:rFonts w:ascii="Times New Roman" w:hAnsi="Times New Roman" w:cs="Times New Roman"/>
                <w:sz w:val="20"/>
                <w:szCs w:val="20"/>
                <w:lang w:val="en-US"/>
              </w:rPr>
              <w:t>18</w:t>
            </w:r>
          </w:p>
        </w:tc>
        <w:tc>
          <w:tcPr>
            <w:tcW w:w="709" w:type="dxa"/>
            <w:vAlign w:val="center"/>
          </w:tcPr>
          <w:p w14:paraId="7E3E2234">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8±2</w:t>
            </w:r>
          </w:p>
        </w:tc>
        <w:tc>
          <w:tcPr>
            <w:tcW w:w="850" w:type="dxa"/>
            <w:vAlign w:val="center"/>
          </w:tcPr>
          <w:p w14:paraId="38532ED6">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9.4±0.2</w:t>
            </w:r>
          </w:p>
        </w:tc>
        <w:tc>
          <w:tcPr>
            <w:tcW w:w="992" w:type="dxa"/>
            <w:vAlign w:val="center"/>
          </w:tcPr>
          <w:p w14:paraId="2B67E2DD">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14.2±0.3</w:t>
            </w:r>
          </w:p>
        </w:tc>
        <w:tc>
          <w:tcPr>
            <w:tcW w:w="709" w:type="dxa"/>
            <w:vAlign w:val="center"/>
          </w:tcPr>
          <w:p w14:paraId="0AB4DD13">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408±20</w:t>
            </w:r>
          </w:p>
        </w:tc>
        <w:tc>
          <w:tcPr>
            <w:tcW w:w="1134" w:type="dxa"/>
            <w:vAlign w:val="center"/>
          </w:tcPr>
          <w:p w14:paraId="37BB3B80">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rPr>
              <w:t>1</w:t>
            </w:r>
            <w:r>
              <w:rPr>
                <w:rFonts w:ascii="Times New Roman" w:hAnsi="Times New Roman" w:cs="Times New Roman"/>
                <w:sz w:val="20"/>
                <w:szCs w:val="20"/>
                <w:lang w:val="en-US"/>
              </w:rPr>
              <w:t>.37±0.05</w:t>
            </w:r>
          </w:p>
        </w:tc>
        <w:tc>
          <w:tcPr>
            <w:tcW w:w="992" w:type="dxa"/>
            <w:vAlign w:val="center"/>
          </w:tcPr>
          <w:p w14:paraId="018E29EB">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32±3</w:t>
            </w:r>
          </w:p>
        </w:tc>
        <w:tc>
          <w:tcPr>
            <w:tcW w:w="993" w:type="dxa"/>
            <w:vAlign w:val="center"/>
          </w:tcPr>
          <w:p w14:paraId="0457B940">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23±2</w:t>
            </w:r>
          </w:p>
        </w:tc>
      </w:tr>
      <w:tr w14:paraId="53E3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00B736FD">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992" w:type="dxa"/>
            <w:vAlign w:val="center"/>
          </w:tcPr>
          <w:p w14:paraId="00B8E74F">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15</w:t>
            </w:r>
          </w:p>
        </w:tc>
        <w:tc>
          <w:tcPr>
            <w:tcW w:w="425" w:type="dxa"/>
            <w:vAlign w:val="center"/>
          </w:tcPr>
          <w:p w14:paraId="4EB641D3">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6E90B2D9">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26</w:t>
            </w:r>
          </w:p>
        </w:tc>
        <w:tc>
          <w:tcPr>
            <w:tcW w:w="709" w:type="dxa"/>
            <w:vAlign w:val="center"/>
          </w:tcPr>
          <w:p w14:paraId="490F1FCB">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8/16</w:t>
            </w:r>
          </w:p>
        </w:tc>
        <w:tc>
          <w:tcPr>
            <w:tcW w:w="709" w:type="dxa"/>
            <w:vAlign w:val="center"/>
          </w:tcPr>
          <w:p w14:paraId="6AC5317E">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9±2</w:t>
            </w:r>
          </w:p>
        </w:tc>
        <w:tc>
          <w:tcPr>
            <w:tcW w:w="850" w:type="dxa"/>
            <w:vAlign w:val="center"/>
          </w:tcPr>
          <w:p w14:paraId="1554B56C">
            <w:pPr>
              <w:spacing w:after="0" w:line="240" w:lineRule="auto"/>
              <w:ind w:left="-106" w:right="-11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9.1±0.2</w:t>
            </w:r>
          </w:p>
        </w:tc>
        <w:tc>
          <w:tcPr>
            <w:tcW w:w="992" w:type="dxa"/>
            <w:vAlign w:val="center"/>
          </w:tcPr>
          <w:p w14:paraId="10489613">
            <w:pPr>
              <w:spacing w:after="0" w:line="240" w:lineRule="auto"/>
              <w:ind w:left="-110" w:right="-109"/>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10.2±0.2</w:t>
            </w:r>
          </w:p>
        </w:tc>
        <w:tc>
          <w:tcPr>
            <w:tcW w:w="709" w:type="dxa"/>
            <w:vAlign w:val="center"/>
          </w:tcPr>
          <w:p w14:paraId="1993B8AF">
            <w:pPr>
              <w:spacing w:after="0" w:line="240" w:lineRule="auto"/>
              <w:ind w:left="-115" w:right="-105"/>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370±18</w:t>
            </w:r>
          </w:p>
        </w:tc>
        <w:tc>
          <w:tcPr>
            <w:tcW w:w="1134" w:type="dxa"/>
            <w:vAlign w:val="center"/>
          </w:tcPr>
          <w:p w14:paraId="42D13816">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1.28±0.05</w:t>
            </w:r>
          </w:p>
        </w:tc>
        <w:tc>
          <w:tcPr>
            <w:tcW w:w="992" w:type="dxa"/>
            <w:vAlign w:val="center"/>
          </w:tcPr>
          <w:p w14:paraId="7C860FD4">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43.4±4.0</w:t>
            </w:r>
          </w:p>
        </w:tc>
        <w:tc>
          <w:tcPr>
            <w:tcW w:w="993" w:type="dxa"/>
            <w:vAlign w:val="center"/>
          </w:tcPr>
          <w:p w14:paraId="4F424D80">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34±4</w:t>
            </w:r>
          </w:p>
        </w:tc>
      </w:tr>
    </w:tbl>
    <w:p w14:paraId="232F3CFB">
      <w:pPr>
        <w:spacing w:after="0" w:line="360" w:lineRule="auto"/>
        <w:jc w:val="both"/>
        <w:rPr>
          <w:rFonts w:ascii="Times New Roman" w:hAnsi="Times New Roman" w:cs="Times New Roman"/>
          <w:sz w:val="24"/>
          <w:szCs w:val="24"/>
          <w:lang w:val="en-US"/>
        </w:rPr>
      </w:pPr>
    </w:p>
    <w:p w14:paraId="0B40FA29">
      <w:pPr>
        <w:spacing w:after="0" w:line="360" w:lineRule="auto"/>
        <w:jc w:val="both"/>
        <w:rPr>
          <w:rFonts w:ascii="Times New Roman" w:hAnsi="Times New Roman" w:cs="Times New Roman"/>
          <w:sz w:val="24"/>
          <w:szCs w:val="24"/>
          <w:lang w:val="en-US"/>
        </w:rPr>
      </w:pPr>
      <w:commentRangeStart w:id="25"/>
      <w:r>
        <w:rPr>
          <w:rFonts w:ascii="Times New Roman" w:hAnsi="Times New Roman" w:cs="Times New Roman"/>
          <w:b/>
          <w:sz w:val="24"/>
          <w:szCs w:val="24"/>
          <w:highlight w:val="yellow"/>
          <w:lang w:val="en-US"/>
        </w:rPr>
        <w:t>Table 2</w:t>
      </w:r>
      <w:commentRangeEnd w:id="25"/>
      <w:r>
        <w:rPr>
          <w:rStyle w:val="5"/>
          <w:rFonts w:ascii="Times New Roman" w:hAnsi="Times New Roman" w:cs="Times New Roman"/>
          <w:sz w:val="24"/>
          <w:szCs w:val="24"/>
          <w:highlight w:val="yellow"/>
          <w:lang w:val="en-US"/>
        </w:rPr>
        <w:commentReference w:id="25"/>
      </w:r>
      <w:r>
        <w:rPr>
          <w:rFonts w:ascii="Times New Roman" w:hAnsi="Times New Roman" w:cs="Times New Roman"/>
          <w:sz w:val="24"/>
          <w:szCs w:val="24"/>
          <w:highlight w:val="yellow"/>
          <w:lang w:val="en-US"/>
        </w:rPr>
        <w:t>. Results of the radiocarbon dating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559"/>
        <w:gridCol w:w="2977"/>
        <w:gridCol w:w="1418"/>
        <w:gridCol w:w="1701"/>
      </w:tblGrid>
      <w:tr w14:paraId="7790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32EE82E">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1559" w:type="dxa"/>
          </w:tcPr>
          <w:p w14:paraId="5C9237A7">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Lab code</w:t>
            </w:r>
          </w:p>
        </w:tc>
        <w:tc>
          <w:tcPr>
            <w:tcW w:w="2977" w:type="dxa"/>
          </w:tcPr>
          <w:p w14:paraId="68673059">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Dating material , depth</w:t>
            </w:r>
          </w:p>
        </w:tc>
        <w:tc>
          <w:tcPr>
            <w:tcW w:w="1418" w:type="dxa"/>
          </w:tcPr>
          <w:p w14:paraId="4C1EFBA2">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14C date</w:t>
            </w:r>
          </w:p>
        </w:tc>
        <w:tc>
          <w:tcPr>
            <w:tcW w:w="1701" w:type="dxa"/>
          </w:tcPr>
          <w:p w14:paraId="1C106E5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Calibrated age</w:t>
            </w:r>
          </w:p>
        </w:tc>
      </w:tr>
      <w:tr w14:paraId="09A2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C5626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559" w:type="dxa"/>
          </w:tcPr>
          <w:p w14:paraId="3E5355E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GIN-</w:t>
            </w:r>
            <w:r>
              <w:rPr>
                <w:rFonts w:ascii="Times New Roman" w:hAnsi="Times New Roman" w:cs="Times New Roman"/>
                <w:sz w:val="24"/>
                <w:szCs w:val="24"/>
              </w:rPr>
              <w:t>1468</w:t>
            </w:r>
            <w:r>
              <w:rPr>
                <w:rFonts w:ascii="Times New Roman" w:hAnsi="Times New Roman" w:cs="Times New Roman"/>
                <w:sz w:val="24"/>
                <w:szCs w:val="24"/>
                <w:lang w:val="en-US"/>
              </w:rPr>
              <w:t>3</w:t>
            </w:r>
          </w:p>
        </w:tc>
        <w:tc>
          <w:tcPr>
            <w:tcW w:w="2977" w:type="dxa"/>
          </w:tcPr>
          <w:p w14:paraId="6D30AC53">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Mytilus shells, 0.8-0.9 m</w:t>
            </w:r>
          </w:p>
        </w:tc>
        <w:tc>
          <w:tcPr>
            <w:tcW w:w="1418" w:type="dxa"/>
          </w:tcPr>
          <w:p w14:paraId="13DEE48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8860±40</w:t>
            </w:r>
          </w:p>
        </w:tc>
        <w:tc>
          <w:tcPr>
            <w:tcW w:w="1701" w:type="dxa"/>
          </w:tcPr>
          <w:p w14:paraId="36B132C9">
            <w:pPr>
              <w:spacing w:after="0" w:line="360" w:lineRule="auto"/>
              <w:jc w:val="both"/>
              <w:rPr>
                <w:rFonts w:ascii="Times New Roman" w:hAnsi="Times New Roman" w:cs="Times New Roman"/>
                <w:sz w:val="24"/>
                <w:szCs w:val="24"/>
                <w:lang w:val="en-US"/>
              </w:rPr>
            </w:pPr>
            <w:r>
              <w:rPr>
                <w:rFonts w:ascii="Times New Roman" w:hAnsi="Times New Roman" w:cs="Times New Roman"/>
                <w:color w:val="000000"/>
                <w:sz w:val="24"/>
                <w:szCs w:val="24"/>
                <w:lang w:val="en-US"/>
              </w:rPr>
              <w:t>9296</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 xml:space="preserve"> 9445</w:t>
            </w:r>
          </w:p>
        </w:tc>
      </w:tr>
      <w:tr w14:paraId="6610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DD88737">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559" w:type="dxa"/>
          </w:tcPr>
          <w:p w14:paraId="6154AC1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IGAN-10850</w:t>
            </w:r>
          </w:p>
        </w:tc>
        <w:tc>
          <w:tcPr>
            <w:tcW w:w="2977" w:type="dxa"/>
          </w:tcPr>
          <w:p w14:paraId="38E8B5D5">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Gyttja, 6.1-6.17 m</w:t>
            </w:r>
          </w:p>
        </w:tc>
        <w:tc>
          <w:tcPr>
            <w:tcW w:w="1418" w:type="dxa"/>
          </w:tcPr>
          <w:p w14:paraId="3CF26A52">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5250</w:t>
            </w:r>
            <w:r>
              <w:rPr>
                <w:rFonts w:ascii="Times New Roman" w:hAnsi="Times New Roman" w:cs="Times New Roman"/>
                <w:sz w:val="24"/>
                <w:szCs w:val="24"/>
              </w:rPr>
              <w:t>±</w:t>
            </w:r>
            <w:r>
              <w:rPr>
                <w:rFonts w:ascii="Times New Roman" w:hAnsi="Times New Roman" w:cs="Times New Roman"/>
                <w:sz w:val="24"/>
                <w:szCs w:val="24"/>
                <w:lang w:val="en-US"/>
              </w:rPr>
              <w:t>85</w:t>
            </w:r>
          </w:p>
        </w:tc>
        <w:tc>
          <w:tcPr>
            <w:tcW w:w="1701" w:type="dxa"/>
          </w:tcPr>
          <w:p w14:paraId="0878D4A5">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6120-5930</w:t>
            </w:r>
          </w:p>
        </w:tc>
      </w:tr>
      <w:tr w14:paraId="5F21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8554C2A">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559" w:type="dxa"/>
          </w:tcPr>
          <w:p w14:paraId="7F54D300">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IGAN-10851</w:t>
            </w:r>
          </w:p>
        </w:tc>
        <w:tc>
          <w:tcPr>
            <w:tcW w:w="2977" w:type="dxa"/>
          </w:tcPr>
          <w:p w14:paraId="69C1F968">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Gyttja, 6.17-6.25 m</w:t>
            </w:r>
          </w:p>
        </w:tc>
        <w:tc>
          <w:tcPr>
            <w:tcW w:w="1418" w:type="dxa"/>
          </w:tcPr>
          <w:p w14:paraId="467B31E0">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6685</w:t>
            </w:r>
            <w:r>
              <w:rPr>
                <w:rFonts w:ascii="Times New Roman" w:hAnsi="Times New Roman" w:cs="Times New Roman"/>
                <w:sz w:val="24"/>
                <w:szCs w:val="24"/>
              </w:rPr>
              <w:t>±</w:t>
            </w:r>
            <w:r>
              <w:rPr>
                <w:rFonts w:ascii="Times New Roman" w:hAnsi="Times New Roman" w:cs="Times New Roman"/>
                <w:sz w:val="24"/>
                <w:szCs w:val="24"/>
                <w:lang w:val="en-US"/>
              </w:rPr>
              <w:t>85</w:t>
            </w:r>
          </w:p>
        </w:tc>
        <w:tc>
          <w:tcPr>
            <w:tcW w:w="1701" w:type="dxa"/>
          </w:tcPr>
          <w:p w14:paraId="0184ABF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7620-7480</w:t>
            </w:r>
          </w:p>
        </w:tc>
      </w:tr>
    </w:tbl>
    <w:p w14:paraId="5DC9CB1D">
      <w:pPr>
        <w:spacing w:after="0" w:line="360" w:lineRule="auto"/>
        <w:jc w:val="both"/>
        <w:rPr>
          <w:rFonts w:ascii="Times New Roman" w:hAnsi="Times New Roman" w:cs="Times New Roman"/>
          <w:sz w:val="24"/>
          <w:szCs w:val="24"/>
          <w:lang w:val="en-US"/>
        </w:rPr>
      </w:pPr>
    </w:p>
    <w:sectPr>
      <w:headerReference r:id="rId7" w:type="default"/>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User" w:date="2026-03-07T13:43:00Z" w:initials="U">
    <w:p w14:paraId="170D7753">
      <w:pPr>
        <w:pStyle w:val="9"/>
      </w:pPr>
      <w:r>
        <w:t>детально будет в дискуссии</w:t>
      </w:r>
    </w:p>
  </w:comment>
  <w:comment w:id="1" w:author="User" w:date="2026-03-07T14:01:00Z" w:initials="U">
    <w:p w14:paraId="44EA30C2">
      <w:pPr>
        <w:pStyle w:val="9"/>
      </w:pPr>
      <w:r>
        <w:t>а нельзя эту фразу убрать? Она немного ни о чем, дальше всё расписано</w:t>
      </w:r>
    </w:p>
  </w:comment>
  <w:comment w:id="2" w:author="google1599737165" w:date="2026-03-20T15:33:08Z" w:initials="">
    <w:p w14:paraId="41F290AA">
      <w:pPr>
        <w:pStyle w:val="9"/>
        <w:rPr>
          <w:rFonts w:hint="default"/>
          <w:lang w:val="ru-RU"/>
        </w:rPr>
      </w:pPr>
      <w:r>
        <w:rPr>
          <w:rFonts w:hint="default"/>
          <w:lang w:val="ru-RU"/>
        </w:rPr>
        <w:t>Если это устоявшийся термин, то ОК. Но в анализ входили не только моллюски, но и полихеты.</w:t>
      </w:r>
    </w:p>
  </w:comment>
  <w:comment w:id="3" w:author="google1599737165" w:date="2026-03-20T15:38:13Z" w:initials="">
    <w:p w14:paraId="1C20317B">
      <w:pPr>
        <w:pStyle w:val="9"/>
        <w:rPr>
          <w:rFonts w:hint="default"/>
        </w:rPr>
      </w:pPr>
      <w:r>
        <w:rPr>
          <w:rFonts w:hint="default"/>
        </w:rPr>
        <w:t>Provoost P, Bosch S (2022). _robis: Ocean Biodiversity Information System (OBIS)</w:t>
      </w:r>
    </w:p>
    <w:p w14:paraId="47B38898">
      <w:pPr>
        <w:pStyle w:val="9"/>
        <w:rPr>
          <w:rFonts w:hint="default"/>
        </w:rPr>
      </w:pPr>
      <w:r>
        <w:rPr>
          <w:rFonts w:hint="default"/>
        </w:rPr>
        <w:t xml:space="preserve">  Client_. doi:10.32614/CRAN.package.robis</w:t>
      </w:r>
    </w:p>
    <w:p w14:paraId="0C223885">
      <w:pPr>
        <w:pStyle w:val="9"/>
        <w:rPr>
          <w:rFonts w:hint="default"/>
        </w:rPr>
      </w:pPr>
      <w:r>
        <w:rPr>
          <w:rFonts w:hint="default"/>
        </w:rPr>
        <w:t xml:space="preserve">  &lt;https://doi.org/10.32614/CRAN.package.robis&gt;, R package version 2.11.3,</w:t>
      </w:r>
    </w:p>
    <w:p w14:paraId="0C12A23D">
      <w:pPr>
        <w:pStyle w:val="9"/>
      </w:pPr>
      <w:r>
        <w:rPr>
          <w:rFonts w:hint="default"/>
        </w:rPr>
        <w:t xml:space="preserve">  &lt;https://CRAN.R-project.org/package=robis&gt;.</w:t>
      </w:r>
    </w:p>
  </w:comment>
  <w:comment w:id="4" w:author="google1599737165" w:date="2026-03-20T16:47:51Z" w:initials="">
    <w:p w14:paraId="3911E2E6">
      <w:pPr>
        <w:pStyle w:val="9"/>
        <w:rPr>
          <w:rFonts w:hint="default"/>
          <w:lang w:val="ru-RU"/>
        </w:rPr>
      </w:pPr>
      <w:r>
        <w:rPr>
          <w:rFonts w:hint="default"/>
          <w:lang w:val="ru-RU"/>
        </w:rPr>
        <w:t>Этот кусок вообще пропал. Либо надо встаить, см. Ниже, либо убрать совсем.</w:t>
      </w:r>
    </w:p>
  </w:comment>
  <w:comment w:id="5" w:author="User" w:date="2026-03-07T23:59:00Z" w:initials="U">
    <w:p w14:paraId="006901D4">
      <w:pPr>
        <w:pStyle w:val="9"/>
      </w:pPr>
      <w:r>
        <w:t>сократить в 3 раза</w:t>
      </w:r>
    </w:p>
  </w:comment>
  <w:comment w:id="6" w:author="Rev1" w:date="2026-03-08T00:39:00Z" w:initials="Rev1">
    <w:p w14:paraId="1A9BFF32">
      <w:pPr>
        <w:pStyle w:val="9"/>
      </w:pPr>
      <w:r>
        <w:t>раздел монографии по конференции</w:t>
      </w:r>
    </w:p>
    <w:p w14:paraId="225AFF3A">
      <w:pPr>
        <w:pStyle w:val="9"/>
      </w:pPr>
      <w:r>
        <w:t>Андрей, я такого не писала!!!)))</w:t>
      </w:r>
    </w:p>
  </w:comment>
  <w:comment w:id="8" w:author="Rev1" w:date="2026-03-18T16:47:00Z" w:initials="Rev1">
    <w:p w14:paraId="65413B77">
      <w:pPr>
        <w:pStyle w:val="9"/>
        <w:rPr>
          <w:lang w:val="en-US"/>
        </w:rPr>
      </w:pPr>
      <w:r>
        <w:t>это как будто обсуждение результатов</w:t>
      </w:r>
    </w:p>
    <w:p w14:paraId="7FFDF5F8">
      <w:pPr>
        <w:pStyle w:val="9"/>
        <w:rPr>
          <w:i/>
        </w:rPr>
      </w:pPr>
      <w:r>
        <w:rPr>
          <w:i/>
        </w:rPr>
        <w:t>-пока здесь оставим - НЕ</w:t>
      </w:r>
    </w:p>
  </w:comment>
  <w:comment w:id="7" w:author="google1599737165" w:date="2026-03-20T15:48:50Z" w:initials="">
    <w:p w14:paraId="14AFBC58">
      <w:pPr>
        <w:pStyle w:val="9"/>
        <w:rPr>
          <w:rFonts w:hint="default"/>
          <w:lang w:val="ru-RU"/>
        </w:rPr>
      </w:pPr>
      <w:r>
        <w:rPr>
          <w:lang w:val="ru-RU"/>
        </w:rPr>
        <w:t>Возможно</w:t>
      </w:r>
      <w:r>
        <w:rPr>
          <w:rFonts w:hint="default"/>
          <w:lang w:val="ru-RU"/>
        </w:rPr>
        <w:t xml:space="preserve"> это часть обсуждения. Может все вопросы идентификации до минимально возможных таксонов макробентоса перенести в обсуждение?</w:t>
      </w:r>
    </w:p>
  </w:comment>
  <w:comment w:id="9" w:author="google1599737165" w:date="2025-10-28T14:17:30Z" w:initials="">
    <w:p w14:paraId="018A7BC4">
      <w:pPr>
        <w:pStyle w:val="9"/>
        <w:rPr>
          <w:rFonts w:hint="default" w:ascii="Arial" w:hAnsi="Arial" w:eastAsia="SimSun" w:cs="Arial"/>
          <w:i w:val="0"/>
          <w:iCs w:val="0"/>
          <w:caps w:val="0"/>
          <w:color w:val="222222"/>
          <w:spacing w:val="0"/>
          <w:sz w:val="15"/>
          <w:szCs w:val="15"/>
          <w:shd w:val="clear" w:fill="FFFFFF"/>
        </w:rPr>
      </w:pPr>
      <w:r>
        <w:rPr>
          <w:rFonts w:ascii="Arial" w:hAnsi="Arial" w:eastAsia="SimSun" w:cs="Arial"/>
          <w:i w:val="0"/>
          <w:iCs w:val="0"/>
          <w:caps w:val="0"/>
          <w:color w:val="222222"/>
          <w:spacing w:val="0"/>
          <w:sz w:val="15"/>
          <w:szCs w:val="15"/>
          <w:shd w:val="clear" w:fill="FFFFFF"/>
        </w:rPr>
        <w:t>Деарт, Ю. В., &amp; Бритаев, T. A. (2014). " Новое" донное сообщество с доминированием овениид (Polychaeta, Oweniidae) у побережья Мурмана: структура и причины появления. In</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Доклады Академии наук</w:t>
      </w:r>
      <w:r>
        <w:rPr>
          <w:rFonts w:hint="default" w:ascii="Arial" w:hAnsi="Arial" w:eastAsia="SimSun" w:cs="Arial"/>
          <w:i w:val="0"/>
          <w:iCs w:val="0"/>
          <w:caps w:val="0"/>
          <w:color w:val="222222"/>
          <w:spacing w:val="0"/>
          <w:sz w:val="15"/>
          <w:szCs w:val="15"/>
          <w:shd w:val="clear" w:fill="FFFFFF"/>
        </w:rPr>
        <w:t> (Vol. 454, No. 2, pp. 232-232). Федеральное государственное бюджетное учреждение" Российская академия наук".</w:t>
      </w:r>
    </w:p>
    <w:p w14:paraId="43304241">
      <w:pPr>
        <w:pStyle w:val="9"/>
        <w:rPr>
          <w:rFonts w:hint="default" w:ascii="Arial" w:hAnsi="Arial" w:eastAsia="SimSun" w:cs="Arial"/>
          <w:i w:val="0"/>
          <w:iCs w:val="0"/>
          <w:caps w:val="0"/>
          <w:color w:val="222222"/>
          <w:spacing w:val="0"/>
          <w:sz w:val="15"/>
          <w:szCs w:val="15"/>
          <w:shd w:val="clear" w:fill="FFFFFF"/>
        </w:rPr>
      </w:pPr>
    </w:p>
    <w:p w14:paraId="3EC5FCF4">
      <w:pPr>
        <w:pStyle w:val="9"/>
        <w:rPr>
          <w:rFonts w:hint="default" w:ascii="Arial" w:hAnsi="Arial" w:eastAsia="SimSun" w:cs="Arial"/>
          <w:i w:val="0"/>
          <w:iCs w:val="0"/>
          <w:caps w:val="0"/>
          <w:color w:val="222222"/>
          <w:spacing w:val="0"/>
          <w:sz w:val="15"/>
          <w:szCs w:val="15"/>
          <w:shd w:val="clear" w:fill="FFFFFF"/>
        </w:rPr>
      </w:pPr>
      <w:r>
        <w:rPr>
          <w:rFonts w:ascii="Arial" w:hAnsi="Arial" w:eastAsia="SimSun" w:cs="Arial"/>
          <w:i w:val="0"/>
          <w:iCs w:val="0"/>
          <w:caps w:val="0"/>
          <w:color w:val="222222"/>
          <w:spacing w:val="0"/>
          <w:sz w:val="15"/>
          <w:szCs w:val="15"/>
          <w:shd w:val="clear" w:fill="FFFFFF"/>
        </w:rPr>
        <w:t>Larsen, L. H. (1998). Soft-bottom macro invertebrate fauna of North Norwegian coastal waters with particular reference to sill-basins. Part one: Bottom topography and species diversity.</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Oceanographic Literature Review</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7</w:t>
      </w:r>
      <w:r>
        <w:rPr>
          <w:rFonts w:hint="default" w:ascii="Arial" w:hAnsi="Arial" w:eastAsia="SimSun" w:cs="Arial"/>
          <w:i w:val="0"/>
          <w:iCs w:val="0"/>
          <w:caps w:val="0"/>
          <w:color w:val="222222"/>
          <w:spacing w:val="0"/>
          <w:sz w:val="15"/>
          <w:szCs w:val="15"/>
          <w:shd w:val="clear" w:fill="FFFFFF"/>
        </w:rPr>
        <w:t>(45), 1181.</w:t>
      </w:r>
    </w:p>
    <w:p w14:paraId="24768B14">
      <w:pPr>
        <w:pStyle w:val="9"/>
        <w:rPr>
          <w:rFonts w:hint="default" w:ascii="Arial" w:hAnsi="Arial" w:eastAsia="SimSun" w:cs="Arial"/>
          <w:i w:val="0"/>
          <w:iCs w:val="0"/>
          <w:caps w:val="0"/>
          <w:color w:val="222222"/>
          <w:spacing w:val="0"/>
          <w:sz w:val="15"/>
          <w:szCs w:val="15"/>
          <w:shd w:val="clear" w:fill="FFFFFF"/>
        </w:rPr>
      </w:pPr>
    </w:p>
    <w:p w14:paraId="7C3E0172">
      <w:pPr>
        <w:pStyle w:val="9"/>
        <w:rPr>
          <w:rFonts w:hint="default" w:ascii="Arial" w:hAnsi="Arial" w:eastAsia="SimSun" w:cs="Arial"/>
          <w:i w:val="0"/>
          <w:iCs w:val="0"/>
          <w:caps w:val="0"/>
          <w:color w:val="222222"/>
          <w:spacing w:val="0"/>
          <w:sz w:val="15"/>
          <w:szCs w:val="15"/>
          <w:shd w:val="clear" w:fill="FFFFFF"/>
        </w:rPr>
      </w:pPr>
    </w:p>
    <w:p w14:paraId="40FE6399">
      <w:pPr>
        <w:pStyle w:val="9"/>
        <w:rPr>
          <w:rFonts w:hint="default" w:ascii="Arial" w:hAnsi="Arial" w:eastAsia="SimSun" w:cs="Arial"/>
          <w:i w:val="0"/>
          <w:iCs w:val="0"/>
          <w:caps w:val="0"/>
          <w:color w:val="222222"/>
          <w:spacing w:val="0"/>
          <w:sz w:val="15"/>
          <w:szCs w:val="15"/>
          <w:shd w:val="clear" w:fill="FFFFFF"/>
        </w:rPr>
      </w:pPr>
      <w:r>
        <w:rPr>
          <w:rFonts w:ascii="Arial" w:hAnsi="Arial" w:eastAsia="SimSun" w:cs="Arial"/>
          <w:i w:val="0"/>
          <w:iCs w:val="0"/>
          <w:caps w:val="0"/>
          <w:color w:val="222222"/>
          <w:spacing w:val="0"/>
          <w:sz w:val="15"/>
          <w:szCs w:val="15"/>
          <w:shd w:val="clear" w:fill="FFFFFF"/>
        </w:rPr>
        <w:t>Oug, E., &amp; Høisœter, T. (2000). Soft-bottom macrofauna in the high-latitude ecosystem of Balsfjord, northern Norway: species composition, community structure and temporal variability.</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Sarsia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85</w:t>
      </w:r>
      <w:r>
        <w:rPr>
          <w:rFonts w:hint="default" w:ascii="Arial" w:hAnsi="Arial" w:eastAsia="SimSun" w:cs="Arial"/>
          <w:i w:val="0"/>
          <w:iCs w:val="0"/>
          <w:caps w:val="0"/>
          <w:color w:val="222222"/>
          <w:spacing w:val="0"/>
          <w:sz w:val="15"/>
          <w:szCs w:val="15"/>
          <w:shd w:val="clear" w:fill="FFFFFF"/>
        </w:rPr>
        <w:t>(1), 1-13.</w:t>
      </w:r>
    </w:p>
  </w:comment>
  <w:comment w:id="10" w:author="google1599737165" w:date="2025-10-28T14:24:23Z" w:initials="">
    <w:p w14:paraId="530F9DCE">
      <w:pPr>
        <w:pStyle w:val="9"/>
      </w:pPr>
      <w:r>
        <w:rPr>
          <w:rFonts w:ascii="Arial" w:hAnsi="Arial" w:eastAsia="SimSun" w:cs="Arial"/>
          <w:i w:val="0"/>
          <w:iCs w:val="0"/>
          <w:caps w:val="0"/>
          <w:color w:val="222222"/>
          <w:spacing w:val="0"/>
          <w:sz w:val="15"/>
          <w:szCs w:val="15"/>
          <w:shd w:val="clear" w:fill="FFFFFF"/>
        </w:rPr>
        <w:t>Mokievsky, V. O., Udalov, A. A., Chava, A. I., Simakova, U. V., Kokarev, V. N., &amp; Neretina, T. V. (2020, August). Portlandia-dominated communities in the Arctic: taxonomic composition and structure along the geographical gradient. In</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Doklady Earth Sciences</w:t>
      </w:r>
      <w:r>
        <w:rPr>
          <w:rFonts w:hint="default" w:ascii="Arial" w:hAnsi="Arial" w:eastAsia="SimSun" w:cs="Arial"/>
          <w:i w:val="0"/>
          <w:iCs w:val="0"/>
          <w:caps w:val="0"/>
          <w:color w:val="222222"/>
          <w:spacing w:val="0"/>
          <w:sz w:val="15"/>
          <w:szCs w:val="15"/>
          <w:shd w:val="clear" w:fill="FFFFFF"/>
        </w:rPr>
        <w:t> (Vol. 493, No. 2, pp. 645-648). Moscow: Pleiades Publishing.</w:t>
      </w:r>
    </w:p>
  </w:comment>
  <w:comment w:id="11" w:author="google1599737165" w:date="2025-10-28T14:27:07Z" w:initials="">
    <w:p w14:paraId="56E31D74">
      <w:pPr>
        <w:pStyle w:val="9"/>
      </w:pPr>
      <w:r>
        <w:rPr>
          <w:rFonts w:ascii="Arial" w:hAnsi="Arial" w:eastAsia="SimSun" w:cs="Arial"/>
          <w:i w:val="0"/>
          <w:iCs w:val="0"/>
          <w:caps w:val="0"/>
          <w:color w:val="222222"/>
          <w:spacing w:val="0"/>
          <w:sz w:val="15"/>
          <w:szCs w:val="15"/>
          <w:shd w:val="clear" w:fill="FFFFFF"/>
        </w:rPr>
        <w:t>Khaitov, V. M., Fokin, M. V., &amp; Nicolaeva, A. M. (1999). Structure of communities associated with dense assemblages of the tube-dwelling polychaete Polydora quadrilobata Jacobi (Spionidae) in the White Sea.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Hydrobiologia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393</w:t>
      </w:r>
      <w:r>
        <w:rPr>
          <w:rFonts w:hint="default" w:ascii="Arial" w:hAnsi="Arial" w:eastAsia="SimSun" w:cs="Arial"/>
          <w:i w:val="0"/>
          <w:iCs w:val="0"/>
          <w:caps w:val="0"/>
          <w:color w:val="222222"/>
          <w:spacing w:val="0"/>
          <w:sz w:val="15"/>
          <w:szCs w:val="15"/>
          <w:shd w:val="clear" w:fill="FFFFFF"/>
        </w:rPr>
        <w:t>(0), 221-226.</w:t>
      </w:r>
    </w:p>
  </w:comment>
  <w:comment w:id="12" w:author="google1599737165" w:date="2025-10-28T14:32:05Z" w:initials="">
    <w:p w14:paraId="05548C19">
      <w:pPr>
        <w:pStyle w:val="9"/>
      </w:pPr>
      <w:r>
        <w:rPr>
          <w:rFonts w:ascii="Arial" w:hAnsi="Arial" w:eastAsia="SimSun" w:cs="Arial"/>
          <w:i w:val="0"/>
          <w:iCs w:val="0"/>
          <w:caps w:val="0"/>
          <w:color w:val="222222"/>
          <w:spacing w:val="0"/>
          <w:sz w:val="15"/>
          <w:szCs w:val="15"/>
          <w:shd w:val="clear" w:fill="FFFFFF"/>
        </w:rPr>
        <w:t>Khaitov, V. M., &amp; Lentsman, N. V. (2016). The cycle of mussels: long-term dynamics of mussel beds on intertidal soft bottoms at the White Sea.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Hydrobiologia</w:t>
      </w:r>
      <w:r>
        <w:rPr>
          <w:rFonts w:hint="default" w:ascii="Arial" w:hAnsi="Arial" w:eastAsia="SimSun" w:cs="Arial"/>
          <w:i w:val="0"/>
          <w:iCs w:val="0"/>
          <w:caps w:val="0"/>
          <w:color w:val="222222"/>
          <w:spacing w:val="0"/>
          <w:sz w:val="15"/>
          <w:szCs w:val="15"/>
          <w:shd w:val="clear" w:fill="FFFFFF"/>
        </w:rPr>
        <w:t>, </w:t>
      </w:r>
      <w:r>
        <w:rPr>
          <w:rFonts w:hint="default" w:ascii="Arial" w:hAnsi="Arial" w:eastAsia="SimSun" w:cs="Arial"/>
          <w:i/>
          <w:iCs/>
          <w:caps w:val="0"/>
          <w:color w:val="222222"/>
          <w:spacing w:val="0"/>
          <w:sz w:val="15"/>
          <w:szCs w:val="15"/>
          <w:shd w:val="clear" w:fill="FFFFFF"/>
        </w:rPr>
        <w:t>781</w:t>
      </w:r>
      <w:r>
        <w:rPr>
          <w:rFonts w:hint="default" w:ascii="Arial" w:hAnsi="Arial" w:eastAsia="SimSun" w:cs="Arial"/>
          <w:i w:val="0"/>
          <w:iCs w:val="0"/>
          <w:caps w:val="0"/>
          <w:color w:val="222222"/>
          <w:spacing w:val="0"/>
          <w:sz w:val="15"/>
          <w:szCs w:val="15"/>
          <w:shd w:val="clear" w:fill="FFFFFF"/>
        </w:rPr>
        <w:t>(1), 161-180.</w:t>
      </w:r>
    </w:p>
  </w:comment>
  <w:comment w:id="13" w:author="google1599737165" w:date="2026-03-20T15:50:47Z" w:initials="">
    <w:p w14:paraId="68B62501">
      <w:pPr>
        <w:pStyle w:val="9"/>
        <w:rPr>
          <w:rFonts w:hint="default"/>
          <w:lang w:val="ru-RU"/>
        </w:rPr>
      </w:pPr>
      <w:r>
        <w:rPr>
          <w:lang w:val="ru-RU"/>
        </w:rPr>
        <w:t>Тоже</w:t>
      </w:r>
      <w:r>
        <w:rPr>
          <w:rFonts w:hint="default"/>
          <w:lang w:val="ru-RU"/>
        </w:rPr>
        <w:t xml:space="preserve"> просится в обсуждение. В обсуждении я бы выделил отдельную часть «рекоснструкция палеосукцессии».</w:t>
      </w:r>
    </w:p>
  </w:comment>
  <w:comment w:id="14" w:author="Rev1" w:date="2026-03-08T22:01:00Z" w:initials="Rev1">
    <w:p w14:paraId="753FD8B1">
      <w:pPr>
        <w:pStyle w:val="9"/>
      </w:pPr>
      <w:r>
        <w:t>этой даты нет на рисунке, а 23 - есть</w:t>
      </w:r>
    </w:p>
  </w:comment>
  <w:comment w:id="15" w:author="Rev1" w:date="2026-02-17T10:22:00Z" w:initials="Rev1">
    <w:p w14:paraId="2548E397">
      <w:pPr>
        <w:pStyle w:val="9"/>
      </w:pPr>
      <w:r>
        <w:t>часть монографии, можно заменить ссылку на верную</w:t>
      </w:r>
    </w:p>
  </w:comment>
  <w:comment w:id="16" w:author="Rev1" w:date="2026-03-08T22:50:00Z" w:initials="Rev1">
    <w:p w14:paraId="19B2A1A6">
      <w:pPr>
        <w:pStyle w:val="9"/>
      </w:pPr>
      <w:r>
        <w:t>снова монография</w:t>
      </w:r>
    </w:p>
    <w:p w14:paraId="00EC64BA">
      <w:pPr>
        <w:pStyle w:val="9"/>
      </w:pPr>
      <w:r>
        <w:t>Надо какую-то другу ссылку поставить - НЕ</w:t>
      </w:r>
    </w:p>
  </w:comment>
  <w:comment w:id="17" w:author="User" w:date="2026-03-08T22:55:00Z" w:initials="U">
    <w:p w14:paraId="3804D6D6">
      <w:pPr>
        <w:pStyle w:val="9"/>
      </w:pPr>
      <w:r>
        <w:t>Очень интересно получилось! Надо только оз. Колвицкое подписать. Это мне понятно, что это оно, а "простому читателю" нет))</w:t>
      </w:r>
    </w:p>
  </w:comment>
  <w:comment w:id="18" w:author="User" w:date="2026-03-08T22:57:00Z" w:initials="U">
    <w:p w14:paraId="15C85D59">
      <w:pPr>
        <w:pStyle w:val="9"/>
      </w:pPr>
      <w:r>
        <w:t>куда-то пропал кусок фразы</w:t>
      </w:r>
    </w:p>
  </w:comment>
  <w:comment w:id="19" w:author="Rev1" w:date="2026-02-20T09:33:00Z" w:initials="Rev1">
    <w:p w14:paraId="0A3241DE">
      <w:pPr>
        <w:pStyle w:val="9"/>
      </w:pPr>
      <w:r>
        <w:t xml:space="preserve">До этого все понятно, но последнее предложение – не очень </w:t>
      </w:r>
    </w:p>
  </w:comment>
  <w:comment w:id="20" w:author="Olga" w:date="2026-03-16T08:41:00Z" w:initials="O">
    <w:p w14:paraId="669B9CCD">
      <w:pPr>
        <w:pStyle w:val="9"/>
      </w:pPr>
      <w:r>
        <w:t>в ДЗ 1</w:t>
      </w:r>
      <w:r>
        <w:rPr>
          <w:lang w:val="en-US"/>
        </w:rPr>
        <w:t>b</w:t>
      </w:r>
      <w:r>
        <w:t xml:space="preserve"> также как в ДЗ 1а</w:t>
      </w:r>
    </w:p>
  </w:comment>
  <w:comment w:id="21" w:author="google1599737165" w:date="2026-03-20T16:06:28Z" w:initials="">
    <w:p w14:paraId="4FB83A54">
      <w:pPr>
        <w:pStyle w:val="9"/>
        <w:rPr>
          <w:rFonts w:hint="default"/>
          <w:lang w:val="ru-RU"/>
        </w:rPr>
      </w:pPr>
      <w:r>
        <w:rPr>
          <w:lang w:val="ru-RU"/>
        </w:rPr>
        <w:t>Наташа</w:t>
      </w:r>
      <w:r>
        <w:rPr>
          <w:rFonts w:hint="default"/>
          <w:lang w:val="ru-RU"/>
        </w:rPr>
        <w:t>, а есть ли какой-то способ сопрячь данные по диатомовых с нашими слоями с макрофоссилями?</w:t>
      </w:r>
    </w:p>
  </w:comment>
  <w:comment w:id="22" w:author="User" w:date="2026-03-08T22:59:00Z" w:initials="U">
    <w:p w14:paraId="45747601">
      <w:pPr>
        <w:pStyle w:val="9"/>
      </w:pPr>
      <w:r>
        <w:t>надо ли их дополнить?</w:t>
      </w:r>
    </w:p>
  </w:comment>
  <w:comment w:id="23" w:author="Rev1" w:date="2026-02-20T09:46:00Z" w:initials="Rev1">
    <w:p w14:paraId="3A31092C">
      <w:pPr>
        <w:pStyle w:val="9"/>
      </w:pPr>
      <w:r>
        <w:t>не понятно. Общий перекос от 135 у Кандалакши до 55 у Варзуги  конечно обусловлен неотектоникой с гляциоизостатической компонентой. Или тут про какие то более локальные вещи? Нужно просто более развернуто тут написать, что имеется ввиду</w:t>
      </w:r>
    </w:p>
  </w:comment>
  <w:comment w:id="24" w:author="User" w:date="2026-03-08T23:02:00Z" w:initials="U">
    <w:p w14:paraId="053A9579">
      <w:pPr>
        <w:pStyle w:val="9"/>
      </w:pPr>
      <w:r>
        <w:t>дополнится</w:t>
      </w:r>
    </w:p>
  </w:comment>
  <w:comment w:id="25" w:author="User" w:date="2026-03-08T23:02:00Z" w:initials="U">
    <w:p w14:paraId="6F3F92F4">
      <w:pPr>
        <w:pStyle w:val="9"/>
      </w:pPr>
      <w:r>
        <w:t>Лупче-савино?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0D7753" w15:done="0"/>
  <w15:commentEx w15:paraId="44EA30C2" w15:done="0"/>
  <w15:commentEx w15:paraId="41F290AA" w15:done="0"/>
  <w15:commentEx w15:paraId="0C12A23D" w15:done="0"/>
  <w15:commentEx w15:paraId="3911E2E6" w15:done="0"/>
  <w15:commentEx w15:paraId="006901D4" w15:done="0"/>
  <w15:commentEx w15:paraId="225AFF3A" w15:done="0"/>
  <w15:commentEx w15:paraId="7FFDF5F8" w15:done="0"/>
  <w15:commentEx w15:paraId="14AFBC58" w15:done="0"/>
  <w15:commentEx w15:paraId="40FE6399" w15:done="0"/>
  <w15:commentEx w15:paraId="530F9DCE" w15:done="0"/>
  <w15:commentEx w15:paraId="56E31D74" w15:done="0"/>
  <w15:commentEx w15:paraId="05548C19" w15:done="0"/>
  <w15:commentEx w15:paraId="68B62501" w15:done="0"/>
  <w15:commentEx w15:paraId="753FD8B1" w15:done="0"/>
  <w15:commentEx w15:paraId="2548E397" w15:done="0"/>
  <w15:commentEx w15:paraId="00EC64BA" w15:done="0"/>
  <w15:commentEx w15:paraId="3804D6D6" w15:done="0"/>
  <w15:commentEx w15:paraId="15C85D59" w15:done="0"/>
  <w15:commentEx w15:paraId="0A3241DE" w15:done="0"/>
  <w15:commentEx w15:paraId="669B9CCD" w15:done="0"/>
  <w15:commentEx w15:paraId="4FB83A54" w15:done="0"/>
  <w15:commentEx w15:paraId="45747601" w15:done="0"/>
  <w15:commentEx w15:paraId="3A31092C" w15:done="0"/>
  <w15:commentEx w15:paraId="053A9579" w15:done="0"/>
  <w15:commentEx w15:paraId="6F3F92F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NewtonC">
    <w:altName w:val="Times New Roman"/>
    <w:panose1 w:val="000000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dvOT863180fb">
    <w:altName w:val="Liberation Mono"/>
    <w:panose1 w:val="00000000000000000000"/>
    <w:charset w:val="00"/>
    <w:family w:val="roman"/>
    <w:pitch w:val="default"/>
    <w:sig w:usb0="00000000" w:usb1="00000000" w:usb2="00000000" w:usb3="00000000" w:csb0="00000001" w:csb1="00000000"/>
  </w:font>
  <w:font w:name="Newton-Regular">
    <w:altName w:val="Yu Gothic"/>
    <w:panose1 w:val="00000000000000000000"/>
    <w:charset w:val="80"/>
    <w:family w:val="auto"/>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7614427"/>
      <w:docPartObj>
        <w:docPartGallery w:val="autotext"/>
      </w:docPartObj>
    </w:sdtPr>
    <w:sdtContent>
      <w:p w14:paraId="1559E82B">
        <w:pPr>
          <w:pStyle w:val="12"/>
          <w:jc w:val="center"/>
        </w:pPr>
        <w:r>
          <w:fldChar w:fldCharType="begin"/>
        </w:r>
        <w:r>
          <w:instrText xml:space="preserve">PAGE   \* MERGEFORMAT</w:instrText>
        </w:r>
        <w:r>
          <w:fldChar w:fldCharType="separate"/>
        </w:r>
        <w:r>
          <w:t>24</w:t>
        </w:r>
        <w:r>
          <w:fldChar w:fldCharType="end"/>
        </w:r>
      </w:p>
    </w:sdtContent>
  </w:sdt>
  <w:p w14:paraId="22C90102">
    <w:pPr>
      <w:pStyle w:val="12"/>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google1599737165">
    <w15:presenceInfo w15:providerId="WPS Office" w15:userId="2425888208"/>
  </w15:person>
  <w15:person w15:author="Rev1">
    <w15:presenceInfo w15:providerId="None" w15:userId="Rev1"/>
  </w15:person>
  <w15:person w15:author="Olga">
    <w15:presenceInfo w15:providerId="None" w15:userId="Ol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2E1"/>
    <w:rsid w:val="00001FBE"/>
    <w:rsid w:val="00014E1D"/>
    <w:rsid w:val="000158C3"/>
    <w:rsid w:val="000223E6"/>
    <w:rsid w:val="00031DBF"/>
    <w:rsid w:val="00032602"/>
    <w:rsid w:val="000368D7"/>
    <w:rsid w:val="000423D3"/>
    <w:rsid w:val="000505D4"/>
    <w:rsid w:val="00052E85"/>
    <w:rsid w:val="00056532"/>
    <w:rsid w:val="000601FE"/>
    <w:rsid w:val="00063D63"/>
    <w:rsid w:val="00064B80"/>
    <w:rsid w:val="00070939"/>
    <w:rsid w:val="000721A2"/>
    <w:rsid w:val="00072A9E"/>
    <w:rsid w:val="00091311"/>
    <w:rsid w:val="000945A4"/>
    <w:rsid w:val="000A433F"/>
    <w:rsid w:val="000A54FC"/>
    <w:rsid w:val="000B093B"/>
    <w:rsid w:val="000B462D"/>
    <w:rsid w:val="000C093C"/>
    <w:rsid w:val="000C7523"/>
    <w:rsid w:val="000D571B"/>
    <w:rsid w:val="000F21C8"/>
    <w:rsid w:val="000F4082"/>
    <w:rsid w:val="000F5DBE"/>
    <w:rsid w:val="001006A4"/>
    <w:rsid w:val="001064DD"/>
    <w:rsid w:val="00107133"/>
    <w:rsid w:val="00111623"/>
    <w:rsid w:val="00113BBC"/>
    <w:rsid w:val="00115D67"/>
    <w:rsid w:val="001232ED"/>
    <w:rsid w:val="001264AE"/>
    <w:rsid w:val="001315F2"/>
    <w:rsid w:val="001322E1"/>
    <w:rsid w:val="00132659"/>
    <w:rsid w:val="001463C9"/>
    <w:rsid w:val="0014672C"/>
    <w:rsid w:val="00147213"/>
    <w:rsid w:val="0015558E"/>
    <w:rsid w:val="00165861"/>
    <w:rsid w:val="001679BB"/>
    <w:rsid w:val="00176368"/>
    <w:rsid w:val="00182D34"/>
    <w:rsid w:val="0019537E"/>
    <w:rsid w:val="001D67E0"/>
    <w:rsid w:val="001D717F"/>
    <w:rsid w:val="001F0B37"/>
    <w:rsid w:val="001F2EE4"/>
    <w:rsid w:val="001F4D40"/>
    <w:rsid w:val="001F5473"/>
    <w:rsid w:val="00203E7D"/>
    <w:rsid w:val="00225A03"/>
    <w:rsid w:val="002331F9"/>
    <w:rsid w:val="002356C5"/>
    <w:rsid w:val="00237116"/>
    <w:rsid w:val="002503B5"/>
    <w:rsid w:val="002563D5"/>
    <w:rsid w:val="002615B9"/>
    <w:rsid w:val="002715EE"/>
    <w:rsid w:val="0027185E"/>
    <w:rsid w:val="0027304B"/>
    <w:rsid w:val="002773DA"/>
    <w:rsid w:val="00280A43"/>
    <w:rsid w:val="0028434E"/>
    <w:rsid w:val="002869DB"/>
    <w:rsid w:val="00291E3F"/>
    <w:rsid w:val="0029673B"/>
    <w:rsid w:val="00297A5A"/>
    <w:rsid w:val="002A544C"/>
    <w:rsid w:val="002B2F5B"/>
    <w:rsid w:val="002B3E32"/>
    <w:rsid w:val="002C19DF"/>
    <w:rsid w:val="002D1A24"/>
    <w:rsid w:val="002D29B1"/>
    <w:rsid w:val="002D4E5F"/>
    <w:rsid w:val="002D75D8"/>
    <w:rsid w:val="002E2075"/>
    <w:rsid w:val="002E2199"/>
    <w:rsid w:val="002E5A8E"/>
    <w:rsid w:val="002E5B63"/>
    <w:rsid w:val="002E6B7B"/>
    <w:rsid w:val="002F117E"/>
    <w:rsid w:val="00300939"/>
    <w:rsid w:val="00302A11"/>
    <w:rsid w:val="00306F19"/>
    <w:rsid w:val="00311039"/>
    <w:rsid w:val="00315E1F"/>
    <w:rsid w:val="003265E7"/>
    <w:rsid w:val="00334F84"/>
    <w:rsid w:val="00341C4F"/>
    <w:rsid w:val="00361B52"/>
    <w:rsid w:val="0037182F"/>
    <w:rsid w:val="0037554E"/>
    <w:rsid w:val="00386445"/>
    <w:rsid w:val="003A5DA2"/>
    <w:rsid w:val="003B1125"/>
    <w:rsid w:val="003B3205"/>
    <w:rsid w:val="003B3D0D"/>
    <w:rsid w:val="003C0EB8"/>
    <w:rsid w:val="003C35D7"/>
    <w:rsid w:val="003C7150"/>
    <w:rsid w:val="003D2B87"/>
    <w:rsid w:val="003E0818"/>
    <w:rsid w:val="003E09E0"/>
    <w:rsid w:val="003E3AAF"/>
    <w:rsid w:val="003F2940"/>
    <w:rsid w:val="003F39E3"/>
    <w:rsid w:val="00402B18"/>
    <w:rsid w:val="00403FB8"/>
    <w:rsid w:val="00412E1B"/>
    <w:rsid w:val="004140EB"/>
    <w:rsid w:val="00422E87"/>
    <w:rsid w:val="00422F4F"/>
    <w:rsid w:val="00424FE0"/>
    <w:rsid w:val="00426873"/>
    <w:rsid w:val="004276C7"/>
    <w:rsid w:val="0043345F"/>
    <w:rsid w:val="00435CD1"/>
    <w:rsid w:val="00440B12"/>
    <w:rsid w:val="00442067"/>
    <w:rsid w:val="00455B96"/>
    <w:rsid w:val="00457562"/>
    <w:rsid w:val="00464239"/>
    <w:rsid w:val="00467EF5"/>
    <w:rsid w:val="00482BA3"/>
    <w:rsid w:val="00485508"/>
    <w:rsid w:val="004865EA"/>
    <w:rsid w:val="00491514"/>
    <w:rsid w:val="004A0B99"/>
    <w:rsid w:val="004A3872"/>
    <w:rsid w:val="004A3970"/>
    <w:rsid w:val="004D46BF"/>
    <w:rsid w:val="004E3B00"/>
    <w:rsid w:val="004E51D5"/>
    <w:rsid w:val="004E7017"/>
    <w:rsid w:val="004F0E38"/>
    <w:rsid w:val="004F1A67"/>
    <w:rsid w:val="004F4981"/>
    <w:rsid w:val="004F4B36"/>
    <w:rsid w:val="005047C9"/>
    <w:rsid w:val="0050605F"/>
    <w:rsid w:val="00507BCF"/>
    <w:rsid w:val="00507C5B"/>
    <w:rsid w:val="00512DAE"/>
    <w:rsid w:val="00513D60"/>
    <w:rsid w:val="0052203B"/>
    <w:rsid w:val="00526D29"/>
    <w:rsid w:val="005326B7"/>
    <w:rsid w:val="0055217E"/>
    <w:rsid w:val="00556685"/>
    <w:rsid w:val="00573CA6"/>
    <w:rsid w:val="00581705"/>
    <w:rsid w:val="00586311"/>
    <w:rsid w:val="005B2FE8"/>
    <w:rsid w:val="005C313F"/>
    <w:rsid w:val="005C4A90"/>
    <w:rsid w:val="005C6D96"/>
    <w:rsid w:val="005D05DF"/>
    <w:rsid w:val="005D29EF"/>
    <w:rsid w:val="005D375D"/>
    <w:rsid w:val="005E5603"/>
    <w:rsid w:val="005E6B94"/>
    <w:rsid w:val="005E72E3"/>
    <w:rsid w:val="005F424D"/>
    <w:rsid w:val="00611E7B"/>
    <w:rsid w:val="00612A9A"/>
    <w:rsid w:val="00615E91"/>
    <w:rsid w:val="006204A6"/>
    <w:rsid w:val="0062349A"/>
    <w:rsid w:val="00645A4B"/>
    <w:rsid w:val="00655785"/>
    <w:rsid w:val="00663CDA"/>
    <w:rsid w:val="0066430A"/>
    <w:rsid w:val="00664515"/>
    <w:rsid w:val="00672953"/>
    <w:rsid w:val="0067550D"/>
    <w:rsid w:val="00675C75"/>
    <w:rsid w:val="00677188"/>
    <w:rsid w:val="00684E8C"/>
    <w:rsid w:val="006938BB"/>
    <w:rsid w:val="006A0A07"/>
    <w:rsid w:val="006A0AED"/>
    <w:rsid w:val="006A2A19"/>
    <w:rsid w:val="006A5512"/>
    <w:rsid w:val="006B051C"/>
    <w:rsid w:val="006B1983"/>
    <w:rsid w:val="006C114A"/>
    <w:rsid w:val="006C4B70"/>
    <w:rsid w:val="006C6525"/>
    <w:rsid w:val="006D048E"/>
    <w:rsid w:val="006D2088"/>
    <w:rsid w:val="006D3C3F"/>
    <w:rsid w:val="006E12CC"/>
    <w:rsid w:val="006E3A10"/>
    <w:rsid w:val="00707727"/>
    <w:rsid w:val="007103DB"/>
    <w:rsid w:val="00712C6A"/>
    <w:rsid w:val="007207B6"/>
    <w:rsid w:val="00721C45"/>
    <w:rsid w:val="00721C5E"/>
    <w:rsid w:val="007256EE"/>
    <w:rsid w:val="0073480E"/>
    <w:rsid w:val="00736A3F"/>
    <w:rsid w:val="00741204"/>
    <w:rsid w:val="00757E93"/>
    <w:rsid w:val="00770C4D"/>
    <w:rsid w:val="00771824"/>
    <w:rsid w:val="00773BC7"/>
    <w:rsid w:val="00775ABE"/>
    <w:rsid w:val="00792DC4"/>
    <w:rsid w:val="0079731B"/>
    <w:rsid w:val="007A137B"/>
    <w:rsid w:val="007C11B9"/>
    <w:rsid w:val="007C4242"/>
    <w:rsid w:val="007D2ED6"/>
    <w:rsid w:val="007F2992"/>
    <w:rsid w:val="008039C5"/>
    <w:rsid w:val="00811306"/>
    <w:rsid w:val="00813FA2"/>
    <w:rsid w:val="00815A38"/>
    <w:rsid w:val="00817F36"/>
    <w:rsid w:val="00827344"/>
    <w:rsid w:val="0083636E"/>
    <w:rsid w:val="0083748B"/>
    <w:rsid w:val="0084471C"/>
    <w:rsid w:val="00847382"/>
    <w:rsid w:val="0085525E"/>
    <w:rsid w:val="00863628"/>
    <w:rsid w:val="0086412D"/>
    <w:rsid w:val="00874387"/>
    <w:rsid w:val="00875D1E"/>
    <w:rsid w:val="008769B8"/>
    <w:rsid w:val="00882554"/>
    <w:rsid w:val="00890CDB"/>
    <w:rsid w:val="008921BF"/>
    <w:rsid w:val="00896E27"/>
    <w:rsid w:val="008A12F3"/>
    <w:rsid w:val="008A1A3B"/>
    <w:rsid w:val="008A4A53"/>
    <w:rsid w:val="008B682D"/>
    <w:rsid w:val="008C093C"/>
    <w:rsid w:val="008C1967"/>
    <w:rsid w:val="008C4BF1"/>
    <w:rsid w:val="008C59B9"/>
    <w:rsid w:val="008D1598"/>
    <w:rsid w:val="008D235B"/>
    <w:rsid w:val="008D24C0"/>
    <w:rsid w:val="008D5FC7"/>
    <w:rsid w:val="008E2494"/>
    <w:rsid w:val="008E49A1"/>
    <w:rsid w:val="008E6A5D"/>
    <w:rsid w:val="008E6FE3"/>
    <w:rsid w:val="009001F2"/>
    <w:rsid w:val="0090144E"/>
    <w:rsid w:val="0090249C"/>
    <w:rsid w:val="00903FCC"/>
    <w:rsid w:val="00904B26"/>
    <w:rsid w:val="00905317"/>
    <w:rsid w:val="009155C0"/>
    <w:rsid w:val="00915932"/>
    <w:rsid w:val="00915F25"/>
    <w:rsid w:val="00916D52"/>
    <w:rsid w:val="009173AA"/>
    <w:rsid w:val="009217A4"/>
    <w:rsid w:val="009232D9"/>
    <w:rsid w:val="0092528E"/>
    <w:rsid w:val="00926040"/>
    <w:rsid w:val="00926786"/>
    <w:rsid w:val="00946FD1"/>
    <w:rsid w:val="0094782E"/>
    <w:rsid w:val="00961246"/>
    <w:rsid w:val="00964F1E"/>
    <w:rsid w:val="0096758F"/>
    <w:rsid w:val="0096774F"/>
    <w:rsid w:val="009707D0"/>
    <w:rsid w:val="009762EF"/>
    <w:rsid w:val="0097781D"/>
    <w:rsid w:val="009878D6"/>
    <w:rsid w:val="00995DF6"/>
    <w:rsid w:val="009A6128"/>
    <w:rsid w:val="009B35A0"/>
    <w:rsid w:val="009B5355"/>
    <w:rsid w:val="009B6FF2"/>
    <w:rsid w:val="009E0958"/>
    <w:rsid w:val="009F089C"/>
    <w:rsid w:val="00A04E83"/>
    <w:rsid w:val="00A127E5"/>
    <w:rsid w:val="00A1664F"/>
    <w:rsid w:val="00A2651F"/>
    <w:rsid w:val="00A27A8B"/>
    <w:rsid w:val="00A320D2"/>
    <w:rsid w:val="00A37967"/>
    <w:rsid w:val="00A42063"/>
    <w:rsid w:val="00A526EC"/>
    <w:rsid w:val="00A54F69"/>
    <w:rsid w:val="00A657E6"/>
    <w:rsid w:val="00A73C90"/>
    <w:rsid w:val="00A80379"/>
    <w:rsid w:val="00A86BEF"/>
    <w:rsid w:val="00A945A8"/>
    <w:rsid w:val="00A94728"/>
    <w:rsid w:val="00AB0E67"/>
    <w:rsid w:val="00AB1106"/>
    <w:rsid w:val="00AB1991"/>
    <w:rsid w:val="00AB22D1"/>
    <w:rsid w:val="00AC0C77"/>
    <w:rsid w:val="00AC160C"/>
    <w:rsid w:val="00AD201E"/>
    <w:rsid w:val="00AD5B0F"/>
    <w:rsid w:val="00AD62A3"/>
    <w:rsid w:val="00AF325C"/>
    <w:rsid w:val="00AF5E57"/>
    <w:rsid w:val="00B00BE2"/>
    <w:rsid w:val="00B0294C"/>
    <w:rsid w:val="00B15A51"/>
    <w:rsid w:val="00B16906"/>
    <w:rsid w:val="00B17B8C"/>
    <w:rsid w:val="00B21E0D"/>
    <w:rsid w:val="00B30D6E"/>
    <w:rsid w:val="00B346F0"/>
    <w:rsid w:val="00B3482D"/>
    <w:rsid w:val="00B423AF"/>
    <w:rsid w:val="00B42C26"/>
    <w:rsid w:val="00B4513F"/>
    <w:rsid w:val="00B519D2"/>
    <w:rsid w:val="00B525EC"/>
    <w:rsid w:val="00B55019"/>
    <w:rsid w:val="00B559CB"/>
    <w:rsid w:val="00B61148"/>
    <w:rsid w:val="00B86EDD"/>
    <w:rsid w:val="00B91036"/>
    <w:rsid w:val="00B945CB"/>
    <w:rsid w:val="00BA503D"/>
    <w:rsid w:val="00BB1372"/>
    <w:rsid w:val="00BB32B7"/>
    <w:rsid w:val="00BB73EB"/>
    <w:rsid w:val="00BD0EDC"/>
    <w:rsid w:val="00BD2B09"/>
    <w:rsid w:val="00BE260C"/>
    <w:rsid w:val="00BF6D82"/>
    <w:rsid w:val="00C102E2"/>
    <w:rsid w:val="00C16AE4"/>
    <w:rsid w:val="00C20BE3"/>
    <w:rsid w:val="00C214F4"/>
    <w:rsid w:val="00C23ACA"/>
    <w:rsid w:val="00C23E8E"/>
    <w:rsid w:val="00C25554"/>
    <w:rsid w:val="00C35C60"/>
    <w:rsid w:val="00C41933"/>
    <w:rsid w:val="00C50B3F"/>
    <w:rsid w:val="00C64D0A"/>
    <w:rsid w:val="00C812AE"/>
    <w:rsid w:val="00C92AD7"/>
    <w:rsid w:val="00C93CD9"/>
    <w:rsid w:val="00CA3D8C"/>
    <w:rsid w:val="00CC343E"/>
    <w:rsid w:val="00CD1166"/>
    <w:rsid w:val="00CD1DA7"/>
    <w:rsid w:val="00CE428D"/>
    <w:rsid w:val="00CF2FE5"/>
    <w:rsid w:val="00CF7E0E"/>
    <w:rsid w:val="00D10271"/>
    <w:rsid w:val="00D13575"/>
    <w:rsid w:val="00D13895"/>
    <w:rsid w:val="00D25AA9"/>
    <w:rsid w:val="00D3100C"/>
    <w:rsid w:val="00D33339"/>
    <w:rsid w:val="00D35389"/>
    <w:rsid w:val="00D46D6B"/>
    <w:rsid w:val="00D4782C"/>
    <w:rsid w:val="00D705AC"/>
    <w:rsid w:val="00D83254"/>
    <w:rsid w:val="00D83F44"/>
    <w:rsid w:val="00D92F24"/>
    <w:rsid w:val="00D94B70"/>
    <w:rsid w:val="00D94E1F"/>
    <w:rsid w:val="00DA1F1B"/>
    <w:rsid w:val="00DA3CA8"/>
    <w:rsid w:val="00DB0DE7"/>
    <w:rsid w:val="00DB7A74"/>
    <w:rsid w:val="00DC042C"/>
    <w:rsid w:val="00DC17A8"/>
    <w:rsid w:val="00DD1E2F"/>
    <w:rsid w:val="00DD3336"/>
    <w:rsid w:val="00DD3B80"/>
    <w:rsid w:val="00DD4423"/>
    <w:rsid w:val="00DD47B2"/>
    <w:rsid w:val="00E05BC9"/>
    <w:rsid w:val="00E0788A"/>
    <w:rsid w:val="00E218A0"/>
    <w:rsid w:val="00E46399"/>
    <w:rsid w:val="00E4686D"/>
    <w:rsid w:val="00E54C44"/>
    <w:rsid w:val="00E57CBC"/>
    <w:rsid w:val="00E653AE"/>
    <w:rsid w:val="00E66023"/>
    <w:rsid w:val="00E7137F"/>
    <w:rsid w:val="00E764D9"/>
    <w:rsid w:val="00E774B8"/>
    <w:rsid w:val="00E77A55"/>
    <w:rsid w:val="00E97753"/>
    <w:rsid w:val="00EA0574"/>
    <w:rsid w:val="00EB3211"/>
    <w:rsid w:val="00EC4496"/>
    <w:rsid w:val="00ED1264"/>
    <w:rsid w:val="00EF348E"/>
    <w:rsid w:val="00EF717F"/>
    <w:rsid w:val="00F04F49"/>
    <w:rsid w:val="00F12F76"/>
    <w:rsid w:val="00F15B37"/>
    <w:rsid w:val="00F26113"/>
    <w:rsid w:val="00F309D4"/>
    <w:rsid w:val="00F30A8B"/>
    <w:rsid w:val="00F356B7"/>
    <w:rsid w:val="00F37342"/>
    <w:rsid w:val="00F409FC"/>
    <w:rsid w:val="00F53034"/>
    <w:rsid w:val="00F56BE9"/>
    <w:rsid w:val="00F63396"/>
    <w:rsid w:val="00F6663C"/>
    <w:rsid w:val="00F67169"/>
    <w:rsid w:val="00F74810"/>
    <w:rsid w:val="00F764D2"/>
    <w:rsid w:val="00F87586"/>
    <w:rsid w:val="00F90182"/>
    <w:rsid w:val="00F9074F"/>
    <w:rsid w:val="00F97077"/>
    <w:rsid w:val="00FA3329"/>
    <w:rsid w:val="00FB1EC8"/>
    <w:rsid w:val="00FB3A55"/>
    <w:rsid w:val="00FD167D"/>
    <w:rsid w:val="00FD2E02"/>
    <w:rsid w:val="00FD77C8"/>
    <w:rsid w:val="00FD7D2B"/>
    <w:rsid w:val="00FE188C"/>
    <w:rsid w:val="00FE4924"/>
    <w:rsid w:val="00FF1297"/>
    <w:rsid w:val="14C23726"/>
    <w:rsid w:val="32F71D9D"/>
    <w:rsid w:val="7E9E06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link w:val="19"/>
    <w:qFormat/>
    <w:uiPriority w:val="9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character" w:styleId="6">
    <w:name w:val="Emphasis"/>
    <w:basedOn w:val="3"/>
    <w:autoRedefine/>
    <w:qFormat/>
    <w:uiPriority w:val="20"/>
    <w:rPr>
      <w:i/>
      <w:iCs/>
    </w:rPr>
  </w:style>
  <w:style w:type="character" w:styleId="7">
    <w:name w:val="Hyperlink"/>
    <w:basedOn w:val="3"/>
    <w:autoRedefine/>
    <w:unhideWhenUsed/>
    <w:qFormat/>
    <w:uiPriority w:val="0"/>
    <w:rPr>
      <w:color w:val="0000FF"/>
      <w:u w:val="single"/>
    </w:rPr>
  </w:style>
  <w:style w:type="paragraph" w:styleId="8">
    <w:name w:val="Balloon Text"/>
    <w:basedOn w:val="1"/>
    <w:link w:val="17"/>
    <w:semiHidden/>
    <w:unhideWhenUsed/>
    <w:qFormat/>
    <w:uiPriority w:val="99"/>
    <w:pPr>
      <w:spacing w:after="0" w:line="240" w:lineRule="auto"/>
    </w:pPr>
    <w:rPr>
      <w:rFonts w:ascii="Tahoma" w:hAnsi="Tahoma" w:cs="Tahoma"/>
      <w:sz w:val="16"/>
      <w:szCs w:val="16"/>
    </w:rPr>
  </w:style>
  <w:style w:type="paragraph" w:styleId="9">
    <w:name w:val="annotation text"/>
    <w:basedOn w:val="1"/>
    <w:link w:val="15"/>
    <w:unhideWhenUsed/>
    <w:qFormat/>
    <w:uiPriority w:val="99"/>
    <w:pPr>
      <w:spacing w:line="240" w:lineRule="auto"/>
    </w:pPr>
    <w:rPr>
      <w:sz w:val="20"/>
      <w:szCs w:val="20"/>
    </w:rPr>
  </w:style>
  <w:style w:type="paragraph" w:styleId="10">
    <w:name w:val="annotation subject"/>
    <w:basedOn w:val="9"/>
    <w:next w:val="9"/>
    <w:link w:val="16"/>
    <w:semiHidden/>
    <w:unhideWhenUsed/>
    <w:qFormat/>
    <w:uiPriority w:val="99"/>
    <w:rPr>
      <w:b/>
      <w:bCs/>
    </w:rPr>
  </w:style>
  <w:style w:type="paragraph" w:styleId="11">
    <w:name w:val="footnote text"/>
    <w:basedOn w:val="1"/>
    <w:link w:val="20"/>
    <w:semiHidden/>
    <w:qFormat/>
    <w:uiPriority w:val="99"/>
    <w:pPr>
      <w:spacing w:after="0" w:line="240" w:lineRule="auto"/>
    </w:pPr>
    <w:rPr>
      <w:rFonts w:ascii="Calibri" w:hAnsi="Calibri" w:eastAsia="Calibri" w:cs="Times New Roman"/>
      <w:sz w:val="20"/>
      <w:szCs w:val="20"/>
      <w:lang w:eastAsia="ru-RU"/>
    </w:rPr>
  </w:style>
  <w:style w:type="paragraph" w:styleId="12">
    <w:name w:val="header"/>
    <w:basedOn w:val="1"/>
    <w:link w:val="25"/>
    <w:unhideWhenUsed/>
    <w:qFormat/>
    <w:uiPriority w:val="99"/>
    <w:pPr>
      <w:tabs>
        <w:tab w:val="center" w:pos="4677"/>
        <w:tab w:val="right" w:pos="9355"/>
      </w:tabs>
      <w:spacing w:after="0" w:line="240" w:lineRule="auto"/>
    </w:pPr>
  </w:style>
  <w:style w:type="paragraph" w:styleId="13">
    <w:name w:val="footer"/>
    <w:basedOn w:val="1"/>
    <w:link w:val="26"/>
    <w:unhideWhenUsed/>
    <w:qFormat/>
    <w:uiPriority w:val="99"/>
    <w:pPr>
      <w:tabs>
        <w:tab w:val="center" w:pos="4677"/>
        <w:tab w:val="right" w:pos="9355"/>
      </w:tabs>
      <w:spacing w:after="0" w:line="240" w:lineRule="auto"/>
    </w:pPr>
  </w:style>
  <w:style w:type="table" w:styleId="14">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5">
    <w:name w:val="Текст примечания Знак"/>
    <w:basedOn w:val="3"/>
    <w:link w:val="9"/>
    <w:qFormat/>
    <w:uiPriority w:val="99"/>
    <w:rPr>
      <w:sz w:val="20"/>
      <w:szCs w:val="20"/>
    </w:rPr>
  </w:style>
  <w:style w:type="character" w:customStyle="1" w:styleId="16">
    <w:name w:val="Тема примечания Знак"/>
    <w:basedOn w:val="15"/>
    <w:link w:val="10"/>
    <w:semiHidden/>
    <w:qFormat/>
    <w:uiPriority w:val="99"/>
    <w:rPr>
      <w:b/>
      <w:bCs/>
      <w:sz w:val="20"/>
      <w:szCs w:val="20"/>
    </w:rPr>
  </w:style>
  <w:style w:type="character" w:customStyle="1" w:styleId="17">
    <w:name w:val="Текст выноски Знак"/>
    <w:basedOn w:val="3"/>
    <w:link w:val="8"/>
    <w:semiHidden/>
    <w:qFormat/>
    <w:uiPriority w:val="99"/>
    <w:rPr>
      <w:rFonts w:ascii="Tahoma" w:hAnsi="Tahoma" w:cs="Tahoma"/>
      <w:sz w:val="16"/>
      <w:szCs w:val="16"/>
    </w:rPr>
  </w:style>
  <w:style w:type="paragraph" w:customStyle="1" w:styleId="18">
    <w:name w:val="Revision"/>
    <w:hidden/>
    <w:semiHidden/>
    <w:qFormat/>
    <w:uiPriority w:val="99"/>
    <w:pPr>
      <w:spacing w:after="0" w:line="240" w:lineRule="auto"/>
    </w:pPr>
    <w:rPr>
      <w:rFonts w:asciiTheme="minorHAnsi" w:hAnsiTheme="minorHAnsi" w:eastAsiaTheme="minorHAnsi" w:cstheme="minorBidi"/>
      <w:sz w:val="22"/>
      <w:szCs w:val="22"/>
      <w:lang w:val="ru-RU" w:eastAsia="en-US" w:bidi="ar-SA"/>
    </w:rPr>
  </w:style>
  <w:style w:type="character" w:customStyle="1" w:styleId="19">
    <w:name w:val="Заголовок 1 Знак"/>
    <w:basedOn w:val="3"/>
    <w:link w:val="2"/>
    <w:qFormat/>
    <w:uiPriority w:val="99"/>
    <w:rPr>
      <w:rFonts w:ascii="Times New Roman" w:hAnsi="Times New Roman" w:eastAsia="Times New Roman" w:cs="Times New Roman"/>
      <w:b/>
      <w:bCs/>
      <w:kern w:val="36"/>
      <w:sz w:val="48"/>
      <w:szCs w:val="48"/>
      <w:lang w:eastAsia="ru-RU"/>
    </w:rPr>
  </w:style>
  <w:style w:type="character" w:customStyle="1" w:styleId="20">
    <w:name w:val="Текст сноски Знак"/>
    <w:basedOn w:val="3"/>
    <w:link w:val="11"/>
    <w:semiHidden/>
    <w:qFormat/>
    <w:uiPriority w:val="99"/>
    <w:rPr>
      <w:rFonts w:ascii="Calibri" w:hAnsi="Calibri" w:eastAsia="Calibri" w:cs="Times New Roman"/>
      <w:sz w:val="20"/>
      <w:szCs w:val="20"/>
      <w:lang w:eastAsia="ru-RU"/>
    </w:rPr>
  </w:style>
  <w:style w:type="character" w:customStyle="1" w:styleId="21">
    <w:name w:val="anchor-text"/>
    <w:basedOn w:val="3"/>
    <w:qFormat/>
    <w:uiPriority w:val="0"/>
  </w:style>
  <w:style w:type="paragraph" w:styleId="22">
    <w:name w:val="List Paragraph"/>
    <w:basedOn w:val="1"/>
    <w:qFormat/>
    <w:uiPriority w:val="34"/>
    <w:pPr>
      <w:spacing w:after="200" w:line="276" w:lineRule="auto"/>
      <w:ind w:left="720"/>
      <w:contextualSpacing/>
    </w:pPr>
    <w:rPr>
      <w:rFonts w:ascii="Calibri" w:hAnsi="Calibri" w:eastAsia="Times New Roman" w:cs="Times New Roman"/>
      <w:lang w:eastAsia="ru-RU"/>
    </w:rPr>
  </w:style>
  <w:style w:type="character" w:customStyle="1" w:styleId="23">
    <w:name w:val="rynqvb"/>
    <w:basedOn w:val="3"/>
    <w:qFormat/>
    <w:uiPriority w:val="0"/>
  </w:style>
  <w:style w:type="character" w:customStyle="1" w:styleId="24">
    <w:name w:val="text"/>
    <w:basedOn w:val="3"/>
    <w:qFormat/>
    <w:uiPriority w:val="0"/>
  </w:style>
  <w:style w:type="character" w:customStyle="1" w:styleId="25">
    <w:name w:val="Верхний колонтитул Знак"/>
    <w:basedOn w:val="3"/>
    <w:link w:val="12"/>
    <w:qFormat/>
    <w:uiPriority w:val="99"/>
  </w:style>
  <w:style w:type="character" w:customStyle="1" w:styleId="26">
    <w:name w:val="Нижний колонтитул Знак"/>
    <w:basedOn w:val="3"/>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9.jpeg"/><Relationship Id="rId16" Type="http://schemas.openxmlformats.org/officeDocument/2006/relationships/image" Target="media/image8.tiff"/><Relationship Id="rId15" Type="http://schemas.openxmlformats.org/officeDocument/2006/relationships/image" Target="media/image7.tiff"/><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242A937-E181-4CDB-BAC1-F240EBA645F8}">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33</Pages>
  <Words>9998</Words>
  <Characters>56990</Characters>
  <Lines>474</Lines>
  <Paragraphs>133</Paragraphs>
  <TotalTime>11</TotalTime>
  <ScaleCrop>false</ScaleCrop>
  <LinksUpToDate>false</LinksUpToDate>
  <CharactersWithSpaces>66855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2026-02-20T13:29:00Z</dcterms:created>
  <dc:creator>Наталия</dc:creator>
  <cp:lastModifiedBy>google1599737165</cp:lastModifiedBy>
  <dcterms:modified xsi:type="dcterms:W3CDTF">2026-03-24T09:25:07Z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1AB31F9E72C24DC4ACA4FA44D87466F5_13</vt:lpwstr>
  </property>
</Properties>
</file>