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F5C16A">
      <w:pPr>
        <w:pStyle w:val="2"/>
        <w:keepNext w:val="0"/>
        <w:keepLines w:val="0"/>
        <w:widowControl/>
        <w:suppressLineNumbers w:val="0"/>
        <w:shd w:val="clear" w:fill="FFFFFF"/>
        <w:spacing w:before="384" w:beforeAutospacing="0" w:after="192" w:afterAutospacing="0" w:line="384" w:lineRule="atLeast"/>
        <w:ind w:left="0" w:right="0" w:firstLine="0"/>
        <w:rPr>
          <w:rFonts w:ascii="Segoe UI" w:hAnsi="Segoe UI" w:eastAsia="Segoe UI" w:cs="Segoe UI"/>
          <w:b/>
          <w:bCs/>
          <w:caps w:val="0"/>
          <w:color w:val="0F1115"/>
          <w:spacing w:val="0"/>
          <w:sz w:val="26"/>
          <w:szCs w:val="26"/>
        </w:rPr>
      </w:pPr>
      <w:r>
        <w:rPr>
          <w:rFonts w:hint="default" w:ascii="Segoe UI" w:hAnsi="Segoe UI" w:eastAsia="Segoe UI" w:cs="Segoe UI"/>
          <w:b/>
          <w:bCs/>
          <w:caps w:val="0"/>
          <w:color w:val="0F1115"/>
          <w:spacing w:val="0"/>
          <w:sz w:val="26"/>
          <w:szCs w:val="26"/>
          <w:shd w:val="clear" w:fill="FFFFFF"/>
        </w:rPr>
        <w:t>MATERIAL AND METHODS</w:t>
      </w:r>
    </w:p>
    <w:p w14:paraId="22E24715">
      <w:pPr>
        <w:pStyle w:val="3"/>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Collection and processing</w:t>
      </w:r>
    </w:p>
    <w:p w14:paraId="3C89E8AF">
      <w:pPr>
        <w:pStyle w:val="8"/>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 xml:space="preserve">The material for the study was collected in June–August 2007–2025 in the </w:t>
      </w:r>
      <w:r>
        <w:rPr>
          <w:rFonts w:hint="default" w:ascii="Segoe UI" w:hAnsi="Segoe UI" w:eastAsia="Segoe UI" w:cs="Segoe UI"/>
          <w:i w:val="0"/>
          <w:iCs w:val="0"/>
          <w:caps w:val="0"/>
          <w:color w:val="0F1115"/>
          <w:spacing w:val="0"/>
          <w:sz w:val="19"/>
          <w:szCs w:val="19"/>
          <w:shd w:val="clear" w:fill="FFFFFF"/>
          <w:lang w:val="en-US"/>
        </w:rPr>
        <w:t>mouth</w:t>
      </w:r>
      <w:r>
        <w:rPr>
          <w:rFonts w:hint="default" w:ascii="Segoe UI" w:hAnsi="Segoe UI" w:eastAsia="Segoe UI" w:cs="Segoe UI"/>
          <w:i w:val="0"/>
          <w:iCs w:val="0"/>
          <w:caps w:val="0"/>
          <w:color w:val="0F1115"/>
          <w:spacing w:val="0"/>
          <w:sz w:val="19"/>
          <w:szCs w:val="19"/>
          <w:shd w:val="clear" w:fill="FFFFFF"/>
        </w:rPr>
        <w:t xml:space="preserve"> of </w:t>
      </w:r>
      <w:r>
        <w:rPr>
          <w:rFonts w:hint="default" w:ascii="Segoe UI" w:hAnsi="Segoe UI" w:eastAsia="Segoe UI" w:cs="Segoe UI"/>
          <w:i w:val="0"/>
          <w:iCs w:val="0"/>
          <w:caps w:val="0"/>
          <w:color w:val="0F1115"/>
          <w:spacing w:val="0"/>
          <w:sz w:val="19"/>
          <w:szCs w:val="19"/>
          <w:shd w:val="clear" w:fill="FFFFFF"/>
          <w:lang w:val="en-US"/>
        </w:rPr>
        <w:t xml:space="preserve">the </w:t>
      </w:r>
      <w:r>
        <w:rPr>
          <w:rFonts w:hint="default" w:ascii="Segoe UI" w:hAnsi="Segoe UI" w:eastAsia="Segoe UI" w:cs="Segoe UI"/>
          <w:i w:val="0"/>
          <w:iCs w:val="0"/>
          <w:caps w:val="0"/>
          <w:color w:val="0F1115"/>
          <w:spacing w:val="0"/>
          <w:sz w:val="19"/>
          <w:szCs w:val="19"/>
          <w:shd w:val="clear" w:fill="FFFFFF"/>
        </w:rPr>
        <w:t xml:space="preserve">Chupa Inlet </w:t>
      </w:r>
      <w:r>
        <w:rPr>
          <w:rFonts w:hint="default" w:ascii="Segoe UI" w:hAnsi="Segoe UI" w:eastAsia="Segoe UI" w:cs="Segoe UI"/>
          <w:i w:val="0"/>
          <w:iCs w:val="0"/>
          <w:caps w:val="0"/>
          <w:color w:val="0F1115"/>
          <w:spacing w:val="0"/>
          <w:sz w:val="19"/>
          <w:szCs w:val="19"/>
          <w:shd w:val="clear" w:fill="FFFFFF"/>
          <w:lang w:val="en-US"/>
        </w:rPr>
        <w:t>(</w:t>
      </w:r>
      <w:r>
        <w:rPr>
          <w:rFonts w:hint="default" w:ascii="Segoe UI" w:hAnsi="Segoe UI" w:eastAsia="Segoe UI" w:cs="Segoe UI"/>
          <w:i w:val="0"/>
          <w:iCs w:val="0"/>
          <w:caps w:val="0"/>
          <w:color w:val="0F1115"/>
          <w:spacing w:val="0"/>
          <w:sz w:val="19"/>
          <w:szCs w:val="19"/>
          <w:shd w:val="clear" w:fill="FFFFFF"/>
        </w:rPr>
        <w:t>Kandalaksha Bay, White Sea</w:t>
      </w:r>
      <w:r>
        <w:rPr>
          <w:rFonts w:hint="default" w:ascii="Segoe UI" w:hAnsi="Segoe UI" w:eastAsia="Segoe UI" w:cs="Segoe UI"/>
          <w:i w:val="0"/>
          <w:iCs w:val="0"/>
          <w:caps w:val="0"/>
          <w:color w:val="0F1115"/>
          <w:spacing w:val="0"/>
          <w:sz w:val="19"/>
          <w:szCs w:val="19"/>
          <w:shd w:val="clear" w:fill="FFFFFF"/>
          <w:lang w:val="en-US"/>
        </w:rPr>
        <w:t>)</w:t>
      </w:r>
      <w:r>
        <w:rPr>
          <w:rFonts w:hint="default" w:ascii="Segoe UI" w:hAnsi="Segoe UI" w:eastAsia="Segoe UI" w:cs="Segoe UI"/>
          <w:i w:val="0"/>
          <w:iCs w:val="0"/>
          <w:caps w:val="0"/>
          <w:color w:val="0F1115"/>
          <w:spacing w:val="0"/>
          <w:sz w:val="19"/>
          <w:szCs w:val="19"/>
          <w:shd w:val="clear" w:fill="FFFFFF"/>
        </w:rPr>
        <w:t xml:space="preserve"> at sites traditionally used by local residents for cod fishing. In 2011, 2016, and 2020, collections were not conducted. Fishing was carried out along a shoreline section of approximately 1.5 km total length (from Seldyanaya Bight to Cape Kartesh) (Fig. 1). During the observation period, fishing was conducted in the summer months using gillnets 30 m in length with a mesh size of 30–40 mm, set perpendicular to the shoreline. The fishing sites covered areas of the coastal zone at depths ranging from 3 to 15 m, where cod actively feeds during the summer period. The soak time of the nets was approximately 12 hours (usually from 9:00 PM to 9:00 AM). Over the entire observation period, a total of 2172 specimens were caught and used for analysis. Total body length (L) was measured for all captured fish to the nearest 0.1 cm, and body mass to the nearest 1 g. Sex was determined after dissection.</w:t>
      </w:r>
    </w:p>
    <w:p w14:paraId="4A945EDA">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Qualitative and quantitative characteristics of cod diet were examined in 1622 individuals. The stomachs of the remaining fish were empty. Prey organisms were identified to the lowest possible taxon. The species list was checked for taxonomic validity according to the World Registry of Marine Species database (WoRMS 2026). Unidentifiable remains of fish and invertebrates from different taxonomic groups were included in our analysis as separate prey categories. Total stomach content weight and the mass of each prey item were measured to the nearest 0.1 g. The importance of each prey item was assessed using its frequency of occurrence (%) and percentage by wet mass as a proportion of the total prey mass present in the stomachs of the analyzed fish, considering only those fish with food detected (Anon 1974; Hislop 1980). Important prey taxa were defined as those comprising &gt;5% of prey weight in any stomach group. Feeding intensity was assessed by the frequency of fish with empty stomachs.</w:t>
      </w:r>
    </w:p>
    <w:p w14:paraId="2303C942">
      <w:pPr>
        <w:pStyle w:val="3"/>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Data analysis</w:t>
      </w:r>
    </w:p>
    <w:p w14:paraId="2C319CB2">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 xml:space="preserve">Statistical processing was performed using functions of the R statistical programming language, version 4.4.3 (R Core Team 2025). To examine long-term and seasonal changes in the studied characteristics, Generalized Additive Models (GAM; Wood 2011) were constructed. Five models were constructed, a description of which is provided in Table 1. Using Model 1, we analyzed the long-term and seasonal dynamics of body size in the captured fish. To analyze variability in the sex composition of cod catches, Model 2 was constructed, in which the frequency of occurrence of females among the captured fish was used as the dependent variable. Two other models characterized the long-term and seasonal dynamics of the frequency of individuals with empty stomachs (Model 3) and the total mass of stomach contents (Model 4). Fish size was also included as a covariate in these two models. Model 5 was constructed to characterize the long-term and seasonal dynamics of fish diet. Among the prey species, the five most </w:t>
      </w:r>
      <w:r>
        <w:rPr>
          <w:rFonts w:hint="default" w:ascii="Segoe UI" w:hAnsi="Segoe UI" w:eastAsia="Segoe UI" w:cs="Segoe UI"/>
          <w:i w:val="0"/>
          <w:iCs w:val="0"/>
          <w:caps w:val="0"/>
          <w:color w:val="0F1115"/>
          <w:spacing w:val="0"/>
          <w:sz w:val="19"/>
          <w:szCs w:val="19"/>
          <w:shd w:val="clear" w:fill="FFFFFF"/>
          <w:lang w:val="en-US"/>
        </w:rPr>
        <w:t>important</w:t>
      </w:r>
      <w:r>
        <w:rPr>
          <w:rFonts w:hint="default" w:ascii="Segoe UI" w:hAnsi="Segoe UI" w:eastAsia="Segoe UI" w:cs="Segoe UI"/>
          <w:i w:val="0"/>
          <w:iCs w:val="0"/>
          <w:caps w:val="0"/>
          <w:color w:val="0F1115"/>
          <w:spacing w:val="0"/>
          <w:sz w:val="19"/>
          <w:szCs w:val="19"/>
          <w:shd w:val="clear" w:fill="FFFFFF"/>
        </w:rPr>
        <w:t xml:space="preserve"> food items were selected for further analysis. To fit this model, we used data from individuals whose stomachs were not empty. As the dependent variable in this model, we considered the probability of encountering a prey item. This metric was chosen instead of the proportion by mass because frequency of occurrence is more </w:t>
      </w:r>
      <w:r>
        <w:rPr>
          <w:rFonts w:hint="default" w:ascii="Segoe UI" w:hAnsi="Segoe UI" w:eastAsia="Segoe UI" w:cs="Segoe UI"/>
          <w:i w:val="0"/>
          <w:iCs w:val="0"/>
          <w:caps w:val="0"/>
          <w:color w:val="0F1115"/>
          <w:spacing w:val="0"/>
          <w:sz w:val="19"/>
          <w:szCs w:val="19"/>
          <w:shd w:val="clear" w:fill="FFFFFF"/>
          <w:lang w:val="en-US"/>
        </w:rPr>
        <w:t xml:space="preserve">usable </w:t>
      </w:r>
      <w:r>
        <w:rPr>
          <w:rFonts w:hint="default" w:ascii="Segoe UI" w:hAnsi="Segoe UI" w:eastAsia="Segoe UI" w:cs="Segoe UI"/>
          <w:i w:val="0"/>
          <w:iCs w:val="0"/>
          <w:caps w:val="0"/>
          <w:color w:val="0F1115"/>
          <w:spacing w:val="0"/>
          <w:sz w:val="19"/>
          <w:szCs w:val="19"/>
          <w:shd w:val="clear" w:fill="FFFFFF"/>
        </w:rPr>
        <w:t xml:space="preserve"> for statistical analysis, and the proportion by mass of each dietary component in our dataset was strongly correlated with its frequency (Spearman's R = 0.9). Validation of all obtained models was performed using functions of the "gratia" package (Simpson 2024).</w:t>
      </w:r>
    </w:p>
    <w:p w14:paraId="4A9C0DE9">
      <w:pPr>
        <w:pStyle w:val="8"/>
        <w:keepNext w:val="0"/>
        <w:keepLines w:val="0"/>
        <w:widowControl/>
        <w:suppressLineNumbers w:val="0"/>
        <w:shd w:val="clear" w:fill="FFFFFF"/>
        <w:spacing w:before="192" w:beforeAutospacing="0" w:after="0"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Table 1.</w:t>
      </w:r>
      <w:r>
        <w:rPr>
          <w:rFonts w:hint="default" w:ascii="Segoe UI" w:hAnsi="Segoe UI" w:eastAsia="Segoe UI" w:cs="Segoe UI"/>
          <w:i w:val="0"/>
          <w:iCs w:val="0"/>
          <w:caps w:val="0"/>
          <w:color w:val="0F1115"/>
          <w:spacing w:val="0"/>
          <w:sz w:val="19"/>
          <w:szCs w:val="19"/>
          <w:shd w:val="clear" w:fill="FFFFFF"/>
        </w:rPr>
        <w:t> Structure of GAMs fitted to describe long-term and seasonal changes in the population characteristics and diet composition of cod.</w:t>
      </w:r>
    </w:p>
    <w:p w14:paraId="3BA52575"/>
    <w:p w14:paraId="465D5324">
      <w:pPr>
        <w:pStyle w:val="2"/>
        <w:keepNext w:val="0"/>
        <w:keepLines w:val="0"/>
        <w:widowControl/>
        <w:suppressLineNumbers w:val="0"/>
        <w:shd w:val="clear" w:fill="FFFFFF"/>
        <w:spacing w:before="384" w:beforeAutospacing="0" w:after="192" w:afterAutospacing="0" w:line="384" w:lineRule="atLeast"/>
        <w:ind w:left="0" w:right="0" w:firstLine="0"/>
        <w:rPr>
          <w:rFonts w:ascii="Segoe UI" w:hAnsi="Segoe UI" w:eastAsia="Segoe UI" w:cs="Segoe UI"/>
          <w:b/>
          <w:bCs/>
          <w:caps w:val="0"/>
          <w:color w:val="0F1115"/>
          <w:spacing w:val="0"/>
          <w:sz w:val="26"/>
          <w:szCs w:val="26"/>
        </w:rPr>
      </w:pPr>
      <w:r>
        <w:rPr>
          <w:rFonts w:hint="default" w:ascii="Segoe UI" w:hAnsi="Segoe UI" w:eastAsia="Segoe UI" w:cs="Segoe UI"/>
          <w:b/>
          <w:bCs/>
          <w:caps w:val="0"/>
          <w:color w:val="0F1115"/>
          <w:spacing w:val="0"/>
          <w:sz w:val="26"/>
          <w:szCs w:val="26"/>
          <w:shd w:val="clear" w:fill="FFFFFF"/>
        </w:rPr>
        <w:t>RESULTS</w:t>
      </w:r>
    </w:p>
    <w:p w14:paraId="1914D58A">
      <w:pPr>
        <w:pStyle w:val="3"/>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Dynamics of size structure</w:t>
      </w:r>
    </w:p>
    <w:p w14:paraId="5BDD492F">
      <w:pPr>
        <w:pStyle w:val="8"/>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Fig. 2.</w:t>
      </w:r>
      <w:r>
        <w:rPr>
          <w:rFonts w:hint="default" w:ascii="Segoe UI" w:hAnsi="Segoe UI" w:eastAsia="Segoe UI" w:cs="Segoe UI"/>
          <w:i w:val="0"/>
          <w:iCs w:val="0"/>
          <w:caps w:val="0"/>
          <w:color w:val="0F1115"/>
          <w:spacing w:val="0"/>
          <w:sz w:val="19"/>
          <w:szCs w:val="19"/>
          <w:shd w:val="clear" w:fill="FFFFFF"/>
        </w:rPr>
        <w:t> Overall size composition of cod catches during the period 2007–2025 (A), long-term (B) and seasonal (C) dynamics of mean fish length in catches from Chupa Inlet. The dashed line represents the long-term mean fish length.</w:t>
      </w:r>
    </w:p>
    <w:p w14:paraId="7633CC2A">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The body length of cod specimens caught during the study period in Chupa Inlet ranged from 22.1 to 82.1 cm, and body mass ranged from 144 to 5670 g. The size composition of cod catches is shown in Fig. 2A. Mature individuals with a body length of 27 to 35 cm dominated the overall sample, comprising approximately 80% of the total number of fish caught. Smaller cod and individuals with a body length exceeding 40 cm accounted for a minor proportion of the total catch.</w:t>
      </w:r>
    </w:p>
    <w:p w14:paraId="4FEEAC8B">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The mean size of cod in samples from different years ranged from 31.4 to 34.6 cm, and individuals of the size class 30–35 cm consistently dominated the catches each year. No long-term trend in the size structure of cod catches from Chupa Inlet was detected (Fig. 2B). Interannual fluctuations in mean fish length relative to the long-term mean value (32.6 cm, SD = 5.05) were statistically significant (Table 2) but small in absolute terms.</w:t>
      </w:r>
    </w:p>
    <w:p w14:paraId="55F69C5E">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Table 2.</w:t>
      </w:r>
      <w:r>
        <w:rPr>
          <w:rFonts w:hint="default" w:ascii="Segoe UI" w:hAnsi="Segoe UI" w:eastAsia="Segoe UI" w:cs="Segoe UI"/>
          <w:i w:val="0"/>
          <w:iCs w:val="0"/>
          <w:caps w:val="0"/>
          <w:color w:val="0F1115"/>
          <w:spacing w:val="0"/>
          <w:sz w:val="19"/>
          <w:szCs w:val="19"/>
          <w:shd w:val="clear" w:fill="FFFFFF"/>
        </w:rPr>
        <w:t> Parameters of the generalized additive model (Model 1) describing the long-term and seasonal variability of mean cod length in catches from Chupa Inlet.</w:t>
      </w:r>
    </w:p>
    <w:p w14:paraId="73FCB4AC">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The results of the analysis of Model 1 (Table 2), which describes the relationship between fish length and capture date, revealed a small but statistically significant increase in the mean length of cod in catches during the summer period (Fig. 2C). This is evidently related to fish growth over the course of the studied feeding period.</w:t>
      </w:r>
    </w:p>
    <w:p w14:paraId="7834F9CE">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 xml:space="preserve">The sex ratio was characterized by a predominance of females (67%), with female dominance observed in all years of the study. The results of the analysis of Model 2 showed no significant seasonal dynamics (June–August) in the frequency of </w:t>
      </w:r>
      <w:r>
        <w:rPr>
          <w:rFonts w:hint="default" w:ascii="Segoe UI" w:hAnsi="Segoe UI" w:eastAsia="Segoe UI" w:cs="Segoe UI"/>
          <w:i w:val="0"/>
          <w:iCs w:val="0"/>
          <w:caps w:val="0"/>
          <w:color w:val="0F1115"/>
          <w:spacing w:val="0"/>
          <w:sz w:val="19"/>
          <w:szCs w:val="19"/>
          <w:shd w:val="clear" w:fill="FFFFFF"/>
        </w:rPr>
        <w:t>females</w:t>
      </w:r>
      <w:r>
        <w:rPr>
          <w:rFonts w:hint="default" w:ascii="Segoe UI" w:hAnsi="Segoe UI" w:eastAsia="Segoe UI" w:cs="Segoe UI"/>
          <w:i w:val="0"/>
          <w:iCs w:val="0"/>
          <w:caps w:val="0"/>
          <w:color w:val="0F1115"/>
          <w:spacing w:val="0"/>
          <w:sz w:val="19"/>
          <w:szCs w:val="19"/>
          <w:shd w:val="clear" w:fill="FFFFFF"/>
          <w:lang w:val="en-US"/>
        </w:rPr>
        <w:t xml:space="preserve"> </w:t>
      </w:r>
      <w:r>
        <w:rPr>
          <w:rFonts w:hint="default" w:ascii="Segoe UI" w:hAnsi="Segoe UI" w:eastAsia="Segoe UI" w:cs="Segoe UI"/>
          <w:i w:val="0"/>
          <w:iCs w:val="0"/>
          <w:caps w:val="0"/>
          <w:color w:val="0F1115"/>
          <w:spacing w:val="0"/>
          <w:sz w:val="19"/>
          <w:szCs w:val="19"/>
          <w:shd w:val="clear" w:fill="FFFFFF"/>
        </w:rPr>
        <w:t>occurrence.</w:t>
      </w:r>
    </w:p>
    <w:p w14:paraId="4BE71971">
      <w:pPr>
        <w:pStyle w:val="3"/>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Cod diet. Stomach content analysis</w:t>
      </w:r>
    </w:p>
    <w:p w14:paraId="71E8E77B">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Table 3 presents the overall diet composition of cod in Chupa Inlet over the studied period. The predator's feeding spectrum included representatives of four groups of prey organisms (crustaceans, polychaetes, fish, and echinoderms). A total of 28 prey items were recorded in the cod's diet. According to the data summarized for all years of observation, fish and their eggs constituted the most important component of the cod's diet during the summer months (77% by frequency of occurrence and 82% by mass). Among fish, the cod predominantly consumed the three-spined stickleback (46% by frequency of occurrence and 33% by mass), which was the major component of the cod diet. Herring, as well as the eggs of fish (lumpfish, herring, stickleback) that spawn in June–July in the coastal zone, also constituted a substantial portion of the cod's diet (Table 3). The remaining nine fish species found in the predator's stomachs played no significant role in its summer feeding. The second most important group of prey organisms was polychaetes (20.5% by frequency and 11.6% by mass), specifically the nereids Alitta virens and Nereis pelagica. The contribution of each of the remaining invertebrate groups (crustaceans and echinoderms) to the cod's diet was negligible (&lt;3% by mass). Highly digested remains of fish and crustaceans constituted an insignificant proportion of the total mass of food consumed by cod.</w:t>
      </w:r>
    </w:p>
    <w:p w14:paraId="2DF006B8">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 xml:space="preserve">The number of species comprising the diet varied among years. However, the observed variations were primarily associated with organisms that did not play a significant role in the predator's feeding. </w:t>
      </w:r>
      <w:r>
        <w:rPr>
          <w:rFonts w:hint="default" w:ascii="Segoe UI" w:hAnsi="Segoe UI" w:eastAsia="Segoe UI" w:cs="Segoe UI"/>
          <w:i w:val="0"/>
          <w:iCs w:val="0"/>
          <w:caps w:val="0"/>
          <w:strike/>
          <w:dstrike w:val="0"/>
          <w:color w:val="0F1115"/>
          <w:spacing w:val="0"/>
          <w:sz w:val="19"/>
          <w:szCs w:val="19"/>
          <w:shd w:val="clear" w:fill="FFFFFF"/>
        </w:rPr>
        <w:t>The highest number of prey species (21) in the cod's diet was recorded in 2007.</w:t>
      </w:r>
      <w:r>
        <w:rPr>
          <w:rFonts w:hint="default" w:ascii="Segoe UI" w:hAnsi="Segoe UI" w:eastAsia="Segoe UI" w:cs="Segoe UI"/>
          <w:i w:val="0"/>
          <w:iCs w:val="0"/>
          <w:caps w:val="0"/>
          <w:color w:val="0F1115"/>
          <w:spacing w:val="0"/>
          <w:sz w:val="19"/>
          <w:szCs w:val="19"/>
          <w:shd w:val="clear" w:fill="FFFFFF"/>
        </w:rPr>
        <w:t xml:space="preserve"> No significant long-term trend in the number of prey organisms consumed by cod was observed over the studied period.</w:t>
      </w:r>
    </w:p>
    <w:p w14:paraId="5810EB2D">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Table 3.</w:t>
      </w:r>
      <w:r>
        <w:rPr>
          <w:rFonts w:hint="default" w:ascii="Segoe UI" w:hAnsi="Segoe UI" w:eastAsia="Segoe UI" w:cs="Segoe UI"/>
          <w:i w:val="0"/>
          <w:iCs w:val="0"/>
          <w:caps w:val="0"/>
          <w:color w:val="0F1115"/>
          <w:spacing w:val="0"/>
          <w:sz w:val="19"/>
          <w:szCs w:val="19"/>
          <w:shd w:val="clear" w:fill="FFFFFF"/>
        </w:rPr>
        <w:t> Total diet composition of cod in Chupa Inlet in June–August of 2007–2025 (all stomachs combined), %.</w:t>
      </w:r>
    </w:p>
    <w:p w14:paraId="614D7C6D">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Note:</w:t>
      </w:r>
      <w:r>
        <w:rPr>
          <w:rFonts w:hint="default" w:ascii="Segoe UI" w:hAnsi="Segoe UI" w:eastAsia="Segoe UI" w:cs="Segoe UI"/>
          <w:i w:val="0"/>
          <w:iCs w:val="0"/>
          <w:caps w:val="0"/>
          <w:color w:val="0F1115"/>
          <w:spacing w:val="0"/>
          <w:sz w:val="19"/>
          <w:szCs w:val="19"/>
          <w:shd w:val="clear" w:fill="FFFFFF"/>
        </w:rPr>
        <w:t> "+" indicates values less than 0.1%.</w:t>
      </w:r>
    </w:p>
    <w:p w14:paraId="77390593">
      <w:pPr>
        <w:pStyle w:val="3"/>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Feeding intensity</w:t>
      </w:r>
    </w:p>
    <w:p w14:paraId="7274A8EC">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The proportion of fish with empty stomachs over the entire study period was 25%. The feeding intensity of cod varied both within the summer season and among individual years of observation. As the analysis of the constructed Model 3 showed, both the long-term and seasonal dynamics of the frequency of specimens with empty stomachs were statistically significant (Table 4).</w:t>
      </w:r>
    </w:p>
    <w:p w14:paraId="336A6756">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Table 4.</w:t>
      </w:r>
      <w:r>
        <w:rPr>
          <w:rFonts w:hint="default" w:ascii="Segoe UI" w:hAnsi="Segoe UI" w:eastAsia="Segoe UI" w:cs="Segoe UI"/>
          <w:i w:val="0"/>
          <w:iCs w:val="0"/>
          <w:caps w:val="0"/>
          <w:color w:val="0F1115"/>
          <w:spacing w:val="0"/>
          <w:sz w:val="19"/>
          <w:szCs w:val="19"/>
          <w:shd w:val="clear" w:fill="FFFFFF"/>
        </w:rPr>
        <w:t> Parameters of the additive model (Model 3) describing the dynamics of the frequency of occurrence of fish with empty stomachs.</w:t>
      </w:r>
    </w:p>
    <w:p w14:paraId="5B2CEA6C">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Fig. 3.</w:t>
      </w:r>
      <w:r>
        <w:rPr>
          <w:rFonts w:hint="default" w:ascii="Segoe UI" w:hAnsi="Segoe UI" w:eastAsia="Segoe UI" w:cs="Segoe UI"/>
          <w:i w:val="0"/>
          <w:iCs w:val="0"/>
          <w:caps w:val="0"/>
          <w:color w:val="0F1115"/>
          <w:spacing w:val="0"/>
          <w:sz w:val="19"/>
          <w:szCs w:val="19"/>
          <w:shd w:val="clear" w:fill="FFFFFF"/>
        </w:rPr>
        <w:t> Long-term (A) and seasonal (B) changes in the frequency of occurrence of fish with empty stomachs. Here and throughout, the horizontal dotted line represents a partial effect of zero, corresponding to the adjusted mean of the dependent variable (i.e., the mean after removing the influence of all other covariates in the model). Positive partial effects indicate values above the adjusted mean; negative partial effects indicate values below the adjusted mean.</w:t>
      </w:r>
    </w:p>
    <w:p w14:paraId="420EBCBD">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Visualization of Model 3, which describes the variability in the frequency of occurrence of "hungry" individuals, is shown in Fig. 3. Throughout the long-term monitoring period, "well-fed" years (2015, 2021–2023) were identified for cod, during which the proportion of fish with empty stomachs (on average 15%) was significantly lower compared to other study years (Fig. 3A). During the remainder of the study period, "hungry" cod individuals occurred much more frequently in the catches. For example, in the 2007 catches, such individuals accounted for 36%.</w:t>
      </w:r>
    </w:p>
    <w:p w14:paraId="1CB19144">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Seasonal changes in the feeding intensity of cod consisted of an increase in the proportion of fish with no food in their stomachs toward the end of summer (Fig. 3B). A decrease in feeding intensity was observed from the end of July onward, with the occurrence of feeding fish being even lower in August. No relationship was found between the frequency of occurrence of "hungry" fish in the catches and their body length (Table 4).</w:t>
      </w:r>
    </w:p>
    <w:p w14:paraId="18911C02">
      <w:pPr>
        <w:pStyle w:val="3"/>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Dynamics of food weight</w:t>
      </w:r>
    </w:p>
    <w:p w14:paraId="5AD35393">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Table 5.</w:t>
      </w:r>
      <w:r>
        <w:rPr>
          <w:rFonts w:hint="default" w:ascii="Segoe UI" w:hAnsi="Segoe UI" w:eastAsia="Segoe UI" w:cs="Segoe UI"/>
          <w:i w:val="0"/>
          <w:iCs w:val="0"/>
          <w:caps w:val="0"/>
          <w:color w:val="0F1115"/>
          <w:spacing w:val="0"/>
          <w:sz w:val="19"/>
          <w:szCs w:val="19"/>
          <w:shd w:val="clear" w:fill="FFFFFF"/>
        </w:rPr>
        <w:t> Parameters of the additive model (Model 4) describing the dynamics of food weight in cod stomachs (total stomach content).</w:t>
      </w:r>
    </w:p>
    <w:p w14:paraId="0804AED8">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Fig. 4.</w:t>
      </w:r>
      <w:r>
        <w:rPr>
          <w:rFonts w:hint="default" w:ascii="Segoe UI" w:hAnsi="Segoe UI" w:eastAsia="Segoe UI" w:cs="Segoe UI"/>
          <w:i w:val="0"/>
          <w:iCs w:val="0"/>
          <w:caps w:val="0"/>
          <w:color w:val="0F1115"/>
          <w:spacing w:val="0"/>
          <w:sz w:val="19"/>
          <w:szCs w:val="19"/>
          <w:shd w:val="clear" w:fill="FFFFFF"/>
        </w:rPr>
        <w:t> Long-term dynamics of food bolus weight (A), relationship between food weight in fish stomachs and predator size (B).</w:t>
      </w:r>
    </w:p>
    <w:p w14:paraId="14309843">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The parameters of Model 4, which describes the dynamics of food mass in cod stomachs over the observation period, are presented in Table 5. The constructed model revealed long-term dynamics in the total mass of all organisms found in the stomachs (Fig. 4A). The total amount of food consumed was maximal in those years when the proportion of individuals with empty stomachs in the catches was the lowest. These data confirm the above-reported occurrence of "well-fed" and "hungry" years for cod over the monitoring period. No seasonal dynamics were detected (Table 5). As expected, the relationship between food weight and fish size was positive and statistically significant (Fig. 4). The mass of consumed food exceeded the long-term mean value when fish body length exceeded 35 cm.</w:t>
      </w:r>
    </w:p>
    <w:p w14:paraId="0DBA3799">
      <w:pPr>
        <w:pStyle w:val="3"/>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Dynamics of prey occurrence</w:t>
      </w:r>
    </w:p>
    <w:p w14:paraId="226B315E">
      <w:pPr>
        <w:pStyle w:val="4"/>
        <w:keepNext w:val="0"/>
        <w:keepLines w:val="0"/>
        <w:widowControl/>
        <w:suppressLineNumbers w:val="0"/>
        <w:shd w:val="clear" w:fill="FFFFFF"/>
        <w:spacing w:before="192" w:beforeAutospacing="0" w:after="192" w:afterAutospacing="0" w:line="336" w:lineRule="atLeast"/>
        <w:ind w:left="0" w:right="0" w:firstLine="0"/>
        <w:rPr>
          <w:rFonts w:hint="default" w:ascii="Segoe UI" w:hAnsi="Segoe UI" w:eastAsia="Segoe UI" w:cs="Segoe UI"/>
          <w:b/>
          <w:bCs/>
          <w:caps w:val="0"/>
          <w:color w:val="0F1115"/>
          <w:spacing w:val="0"/>
          <w:sz w:val="19"/>
          <w:szCs w:val="19"/>
        </w:rPr>
      </w:pPr>
      <w:r>
        <w:rPr>
          <w:rFonts w:hint="default" w:ascii="Segoe UI" w:hAnsi="Segoe UI" w:eastAsia="Segoe UI" w:cs="Segoe UI"/>
          <w:b/>
          <w:bCs/>
          <w:caps w:val="0"/>
          <w:color w:val="0F1115"/>
          <w:spacing w:val="0"/>
          <w:sz w:val="19"/>
          <w:szCs w:val="19"/>
          <w:shd w:val="clear" w:fill="FFFFFF"/>
        </w:rPr>
        <w:t>Influence of predator size</w:t>
      </w:r>
    </w:p>
    <w:p w14:paraId="732361A6">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Analysis of the constructed Model 5 revealed a relationship between the frequency of occurrence of the five most important prey items (stickleback, herring, fish eggs, nereids, ophiuroids) and the size of the predator (Table 6, Fig. 5). The obtained results indicate a species-specific nature of the detected relationship. The three-spined stickleback was more frequently encountered in the diet of medium-sized fish (30–45 cm), whereas smaller cod measuring 22–30 cm rarely fed on adult stickleback. Herring was recorded predominantly in the diet of large cod individuals. The remaining prey items (nereids, ophiuroids, fish eggs) were observed mainly in the diet of fish with a body length of 20–30 cm. Thus, the degree of consumption of individual prey items depended on the size of the predator itself.</w:t>
      </w:r>
    </w:p>
    <w:p w14:paraId="46644EF0">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Fig. 5.</w:t>
      </w:r>
      <w:r>
        <w:rPr>
          <w:rFonts w:hint="default" w:ascii="Segoe UI" w:hAnsi="Segoe UI" w:eastAsia="Segoe UI" w:cs="Segoe UI"/>
          <w:i w:val="0"/>
          <w:iCs w:val="0"/>
          <w:caps w:val="0"/>
          <w:color w:val="0F1115"/>
          <w:spacing w:val="0"/>
          <w:sz w:val="19"/>
          <w:szCs w:val="19"/>
          <w:shd w:val="clear" w:fill="FFFFFF"/>
        </w:rPr>
        <w:t> Relationship between the frequency of occurrence of the main prey items and predator size, according to the predictions of Model 5.</w:t>
      </w:r>
    </w:p>
    <w:p w14:paraId="234B85EA">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Table 6.</w:t>
      </w:r>
      <w:r>
        <w:rPr>
          <w:rFonts w:hint="default" w:ascii="Segoe UI" w:hAnsi="Segoe UI" w:eastAsia="Segoe UI" w:cs="Segoe UI"/>
          <w:i w:val="0"/>
          <w:iCs w:val="0"/>
          <w:caps w:val="0"/>
          <w:color w:val="0F1115"/>
          <w:spacing w:val="0"/>
          <w:sz w:val="19"/>
          <w:szCs w:val="19"/>
          <w:shd w:val="clear" w:fill="FFFFFF"/>
        </w:rPr>
        <w:t> Parameters of the additive model (Model 5) describing the long-term and seasonal dynamics of the frequency of occurrence of the most important prey species and the relationship with fish size.</w:t>
      </w:r>
    </w:p>
    <w:p w14:paraId="27E0B6BC">
      <w:pPr>
        <w:pStyle w:val="4"/>
        <w:keepNext w:val="0"/>
        <w:keepLines w:val="0"/>
        <w:widowControl/>
        <w:suppressLineNumbers w:val="0"/>
        <w:shd w:val="clear" w:fill="FFFFFF"/>
        <w:spacing w:before="192" w:beforeAutospacing="0" w:after="192" w:afterAutospacing="0" w:line="336" w:lineRule="atLeast"/>
        <w:ind w:left="0" w:right="0" w:firstLine="0"/>
        <w:rPr>
          <w:rFonts w:hint="default" w:ascii="Segoe UI" w:hAnsi="Segoe UI" w:eastAsia="Segoe UI" w:cs="Segoe UI"/>
          <w:b/>
          <w:bCs/>
          <w:caps w:val="0"/>
          <w:color w:val="0F1115"/>
          <w:spacing w:val="0"/>
          <w:sz w:val="19"/>
          <w:szCs w:val="19"/>
        </w:rPr>
      </w:pPr>
      <w:r>
        <w:rPr>
          <w:rFonts w:hint="default" w:ascii="Segoe UI" w:hAnsi="Segoe UI" w:eastAsia="Segoe UI" w:cs="Segoe UI"/>
          <w:b/>
          <w:bCs/>
          <w:caps w:val="0"/>
          <w:color w:val="0F1115"/>
          <w:spacing w:val="0"/>
          <w:sz w:val="19"/>
          <w:szCs w:val="19"/>
          <w:shd w:val="clear" w:fill="FFFFFF"/>
        </w:rPr>
        <w:t>Int</w:t>
      </w:r>
      <w:r>
        <w:rPr>
          <w:rFonts w:hint="default" w:ascii="Segoe UI" w:hAnsi="Segoe UI" w:eastAsia="Segoe UI" w:cs="Segoe UI"/>
          <w:b/>
          <w:bCs/>
          <w:caps w:val="0"/>
          <w:color w:val="0F1115"/>
          <w:spacing w:val="0"/>
          <w:sz w:val="19"/>
          <w:szCs w:val="19"/>
          <w:shd w:val="clear" w:fill="FFFFFF"/>
          <w:lang w:val="en-US"/>
        </w:rPr>
        <w:t>ra</w:t>
      </w:r>
      <w:r>
        <w:rPr>
          <w:rFonts w:hint="default" w:ascii="Segoe UI" w:hAnsi="Segoe UI" w:eastAsia="Segoe UI" w:cs="Segoe UI"/>
          <w:b/>
          <w:bCs/>
          <w:caps w:val="0"/>
          <w:color w:val="0F1115"/>
          <w:spacing w:val="0"/>
          <w:sz w:val="19"/>
          <w:szCs w:val="19"/>
          <w:shd w:val="clear" w:fill="FFFFFF"/>
        </w:rPr>
        <w:t>-seasonal cod diet variability</w:t>
      </w:r>
    </w:p>
    <w:p w14:paraId="6C57BC2A">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The results of the analysis of Model 5 revealed changes in the frequency of occurrence of prey organisms constituting the core of the cod's diet during the summer season (Table 6). The graphs presented in Fig. 6B also show seasonal changes in the proportions of the most important prey items in the cod's diet over the summer. In the first half of summer, cod actively fed on stickleback, which spawns in shallow waters during this period. This species constituted a substantial proportion (approximately 40% by mass) of the diet of cod caught from mid-June to the end of the second decade of July. A decrease in the level of stickleback consumption occurred at the end of July (30% by mass), and by mid-August, adult stickleback almost completely disappeared from the predator's diet. Young-of-the-year stickleback were very rarely found in the stomachs of adult cod in August. In addition to stickleback, nereids (up to 20% by mass) and fish eggs (20%) of species spawning in June–July (stickleback, lumpfish, herring) also played an important role in cod feeding from late June to early July. The proportion of fish eggs in the cod's diet decreased by mid-July (8%), which is primarily associated with the completion of mass spawning of stickleback. However, fish eggs continued to occur in small quantities in the cod's diet until early August. In the second half of summer, as stickleback moved away from the coast, cod switched to feeding on herring (Fig. 6) and juveniles of other fish species. Furthermore, the proportion of nereids and</w:t>
      </w:r>
      <w:r>
        <w:rPr>
          <w:rFonts w:hint="default" w:ascii="Segoe UI" w:hAnsi="Segoe UI" w:eastAsia="Segoe UI" w:cs="Segoe UI"/>
          <w:i w:val="0"/>
          <w:iCs w:val="0"/>
          <w:caps w:val="0"/>
          <w:color w:val="0F1115"/>
          <w:spacing w:val="0"/>
          <w:sz w:val="19"/>
          <w:szCs w:val="19"/>
          <w:shd w:val="clear" w:fill="FFFFFF"/>
          <w:lang w:val="en-US"/>
        </w:rPr>
        <w:t xml:space="preserve"> </w:t>
      </w:r>
      <w:r>
        <w:rPr>
          <w:rFonts w:hint="default" w:ascii="Segoe UI" w:hAnsi="Segoe UI" w:eastAsia="Segoe UI" w:cs="Segoe UI"/>
          <w:i w:val="0"/>
          <w:iCs w:val="0"/>
          <w:caps w:val="0"/>
          <w:color w:val="0F1115"/>
          <w:spacing w:val="0"/>
          <w:sz w:val="19"/>
          <w:szCs w:val="19"/>
          <w:shd w:val="clear" w:fill="FFFFFF"/>
        </w:rPr>
        <w:t>ophiuroids in the cod's diet increased in August, their consumption apparently occurring when other prey organisms were scarce in the coastal zone.</w:t>
      </w:r>
    </w:p>
    <w:p w14:paraId="7B3FA722">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Fig. 6.</w:t>
      </w:r>
      <w:r>
        <w:rPr>
          <w:rFonts w:hint="default" w:ascii="Segoe UI" w:hAnsi="Segoe UI" w:eastAsia="Segoe UI" w:cs="Segoe UI"/>
          <w:i w:val="0"/>
          <w:iCs w:val="0"/>
          <w:caps w:val="0"/>
          <w:color w:val="0F1115"/>
          <w:spacing w:val="0"/>
          <w:sz w:val="19"/>
          <w:szCs w:val="19"/>
          <w:shd w:val="clear" w:fill="FFFFFF"/>
        </w:rPr>
        <w:t> Relationship between the frequency of occurrence (A) and proportion by mass (B) of the main prey items in cod stomachs and capture date during the summer period.</w:t>
      </w:r>
    </w:p>
    <w:p w14:paraId="1417E08F">
      <w:pPr>
        <w:pStyle w:val="4"/>
        <w:keepNext w:val="0"/>
        <w:keepLines w:val="0"/>
        <w:widowControl/>
        <w:suppressLineNumbers w:val="0"/>
        <w:shd w:val="clear" w:fill="FFFFFF"/>
        <w:spacing w:before="192" w:beforeAutospacing="0" w:after="192" w:afterAutospacing="0" w:line="336" w:lineRule="atLeast"/>
        <w:ind w:left="0" w:right="0" w:firstLine="0"/>
        <w:rPr>
          <w:rFonts w:hint="default" w:ascii="Segoe UI" w:hAnsi="Segoe UI" w:eastAsia="Segoe UI" w:cs="Segoe UI"/>
          <w:b/>
          <w:bCs/>
          <w:caps w:val="0"/>
          <w:color w:val="0F1115"/>
          <w:spacing w:val="0"/>
          <w:sz w:val="19"/>
          <w:szCs w:val="19"/>
        </w:rPr>
      </w:pPr>
      <w:r>
        <w:rPr>
          <w:rFonts w:hint="default" w:ascii="Segoe UI" w:hAnsi="Segoe UI" w:eastAsia="Segoe UI" w:cs="Segoe UI"/>
          <w:b/>
          <w:bCs/>
          <w:caps w:val="0"/>
          <w:color w:val="0F1115"/>
          <w:spacing w:val="0"/>
          <w:sz w:val="19"/>
          <w:szCs w:val="19"/>
          <w:shd w:val="clear" w:fill="FFFFFF"/>
        </w:rPr>
        <w:t>Inter-annual cod diet variability</w:t>
      </w:r>
    </w:p>
    <w:p w14:paraId="00EBE185">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Using Model 5, the long-term variability in the frequency of occurrence of prey constituting the core of the predator's diet during the summer period was analyzed (Table 6, Fig. 7A). Fig. 7B presents graphs of long-term changes in the proportions of the most important prey items in the summer diet of cod. The data showed a clear dominance of stickleback in the cod's diet throughout almost the entire observation period. The frequency of occurrence and the proportion of this species fluctuated within narrow limits around the long-term mean values. A slight decrease in the proportion of stickleback was observed only in 2025. Herring was another important prey item throughout the entire monitoring period. The graphs reveal long-term dynamics in the occurrence of herring in cod stomachs. In certain years (2012, 2021–2022), cod consumed more herring than in the remaining years of observation (Fig. 7). Fish eggs also played a significant role in cod feeding during the studied period. The frequency of occurrence of this prey type increased somewhat in recent years, while its proportion by mass showed little interannual variation overall. Nereids constituted a minor proportion of the cod's diet in 2007–2014, whereas in 2023–2024 their role increased slightly. Ophiuroids occupied a small and relatively stable proportion of the cod's diet throughout almost the entire monitoring period.</w:t>
      </w:r>
    </w:p>
    <w:p w14:paraId="387D0143">
      <w:pPr>
        <w:pStyle w:val="8"/>
        <w:keepNext w:val="0"/>
        <w:keepLines w:val="0"/>
        <w:widowControl/>
        <w:suppressLineNumbers w:val="0"/>
        <w:shd w:val="clear" w:fill="FFFFFF"/>
        <w:spacing w:before="192" w:beforeAutospacing="0" w:after="0"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Fig. 7.</w:t>
      </w:r>
      <w:r>
        <w:rPr>
          <w:rFonts w:hint="default" w:ascii="Segoe UI" w:hAnsi="Segoe UI" w:eastAsia="Segoe UI" w:cs="Segoe UI"/>
          <w:i w:val="0"/>
          <w:iCs w:val="0"/>
          <w:caps w:val="0"/>
          <w:color w:val="0F1115"/>
          <w:spacing w:val="0"/>
          <w:sz w:val="19"/>
          <w:szCs w:val="19"/>
          <w:shd w:val="clear" w:fill="FFFFFF"/>
        </w:rPr>
        <w:t> Interannual variations in the frequency of occurrence (A) and proportion by mass (B) of the main prey items in cod stomachs.</w:t>
      </w:r>
    </w:p>
    <w:p w14:paraId="3AD8D1EA">
      <w:pPr>
        <w:rPr>
          <w:rFonts w:hint="default"/>
        </w:rPr>
      </w:pPr>
    </w:p>
    <w:p w14:paraId="5C54D634">
      <w:pPr>
        <w:rPr>
          <w:rFonts w:hint="default"/>
        </w:rPr>
      </w:pPr>
      <w:bookmarkStart w:id="0" w:name="_GoBack"/>
      <w:bookmarkEnd w:id="0"/>
    </w:p>
    <w:p w14:paraId="0928E512"/>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C32888"/>
    <w:rsid w:val="032A08BF"/>
    <w:rsid w:val="3CC328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annotation text"/>
    <w:basedOn w:val="1"/>
    <w:unhideWhenUsed/>
    <w:qFormat/>
    <w:uiPriority w:val="99"/>
    <w:pPr>
      <w:spacing w:line="240" w:lineRule="auto"/>
    </w:pPr>
    <w:rPr>
      <w:sz w:val="20"/>
      <w:szCs w:val="20"/>
    </w:rPr>
  </w:style>
  <w:style w:type="paragraph" w:styleId="8">
    <w:name w:val="Normal (Web)"/>
    <w:basedOn w:val="1"/>
    <w:uiPriority w:val="0"/>
    <w:rPr>
      <w:sz w:val="24"/>
      <w:szCs w:val="24"/>
    </w:rPr>
  </w:style>
  <w:style w:type="table" w:styleId="9">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26</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2026-06-03T12:36:00Z</dcterms:created>
  <dc:creator>WPS_1775125980</dc:creator>
  <cp:lastModifiedBy>WPS_1775125980</cp:lastModifiedBy>
  <dcterms:modified xsi:type="dcterms:W3CDTF">2026-06-03T16:41:42Z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B910BF663E534E8D8C3422D8F542D10D_11</vt:lpwstr>
  </property>
  <property fmtid="{D5CDD505-2E9C-101B-9397-08002B2CF9AE}" pid="4" name="KSOTemplateDocerSaveRecord">
    <vt:lpwstr>eyJoZGlkIjoiNGI5N2MxZmVjMDQ1ZWNjODI2ODFiYTk0ZTA3M2RjODQiLCJ1c2VySWQiOiI4MjQ2MzQ1OTkzMjcifQ==</vt:lpwstr>
  </property>
</Properties>
</file>