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F1E1BE">
      <w:pPr>
        <w:rPr>
          <w:i/>
          <w:color w:val="FF0000"/>
          <w:lang w:val="en-US"/>
        </w:rPr>
      </w:pPr>
      <w:r>
        <w:rPr>
          <w:i/>
          <w:color w:val="FF0000"/>
          <w:lang w:val="en-US"/>
        </w:rPr>
        <w:t xml:space="preserve">Two lineages of blue mussel transmissible neoplasia </w:t>
      </w:r>
      <w:r>
        <w:rPr>
          <w:i/>
          <w:color w:val="FF0000"/>
          <w:highlight w:val="yellow"/>
          <w:lang w:val="en-US"/>
        </w:rPr>
        <w:t>(MtrBTN1, MtrBTN2)</w:t>
      </w:r>
      <w:r>
        <w:rPr>
          <w:i/>
          <w:color w:val="FF0000"/>
          <w:lang w:val="en-US"/>
        </w:rPr>
        <w:t xml:space="preserve"> respond differently to local environmental gradients and exert different effects on the reproduction and growth of their hosts.</w:t>
      </w:r>
    </w:p>
    <w:p w14:paraId="57872877">
      <w:pPr>
        <w:rPr>
          <w:i/>
          <w:color w:val="0070C0"/>
          <w:lang w:val="en-US"/>
        </w:rPr>
      </w:pPr>
      <w:r>
        <w:rPr>
          <w:i/>
          <w:color w:val="0070C0"/>
          <w:lang w:val="en-US"/>
        </w:rPr>
        <w:t xml:space="preserve">Abstract (150 words). </w:t>
      </w:r>
    </w:p>
    <w:p w14:paraId="772851BE">
      <w:pPr>
        <w:rPr>
          <w:rFonts w:ascii="Times New Roman" w:hAnsi="Times New Roman" w:cs="Times New Roman"/>
          <w:i/>
          <w:color w:val="0070C0"/>
          <w:lang w:val="en-US"/>
        </w:rPr>
      </w:pPr>
      <w:r>
        <w:rPr>
          <w:rFonts w:ascii="Times New Roman" w:hAnsi="Times New Roman" w:cs="Times New Roman"/>
          <w:i/>
          <w:color w:val="0070C0"/>
          <w:lang w:val="en-US"/>
        </w:rPr>
        <w:t xml:space="preserve">Transmissible cancers, the malignant cell lineages that metastasize between individuals through the transfer of living cancer cells, are compared to parasitic species. Within the framework of this hypothesis, different cancer lineages must manipulate their hosts and possess distinct ecological phenotypes. Here, we test these predictions using two lineages of blue mussel transmissible neoplasia (MtrBTN1, MtrBTN2) parasitizing Mytilus trossulus in the Sea of Okhotsk. The prevalence of MtrBTN1 correlated positively with wave exposure, distance from the harbour, lifetime growth rates and abundance of old mussels, while the prevalence of BTN2 varied insignificantly against all predictors but growth rate. Conclusions on higher eurybionticity of MtrBTN2 fits knowledge on its wider geographic distribution and range of host species. Both lineages reduced the host's fertility, but MtrBTN2 did so from earlier stages of the disease and, unlike MtrBTN1, stimulated mussel growth. Thus, the two cancers follow different parasitic strategies, with the MtrBTN2’s strategy resembling parasitic castration accompanied by a host’s gigantism. </w:t>
      </w:r>
    </w:p>
    <w:p w14:paraId="382C4CE0">
      <w:pPr>
        <w:rPr>
          <w:color w:val="0070C0"/>
          <w:lang w:val="en-US"/>
        </w:rPr>
      </w:pPr>
      <w:r>
        <w:rPr>
          <w:color w:val="0070C0"/>
          <w:lang w:val="en-US"/>
        </w:rPr>
        <w:br w:type="page"/>
      </w:r>
    </w:p>
    <w:p w14:paraId="60D4D12B">
      <w:pPr>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Intro</w:t>
      </w:r>
    </w:p>
    <w:p w14:paraId="5F69553B">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Clonally transmissible cancer (CTC) is a neoplastic disease passed from individual to individual by transfer of living cancer cells (</w:t>
      </w:r>
      <w:r>
        <w:rPr>
          <w:rFonts w:ascii="Times New Roman" w:hAnsi="Times New Roman" w:cs="Times New Roman"/>
          <w:color w:val="FF0000"/>
          <w:sz w:val="24"/>
          <w:szCs w:val="24"/>
          <w:lang w:val="en-US"/>
        </w:rPr>
        <w:t>Murchison 2008</w:t>
      </w:r>
      <w:r>
        <w:rPr>
          <w:rFonts w:ascii="Times New Roman" w:hAnsi="Times New Roman" w:cs="Times New Roman"/>
          <w:color w:val="0070C0"/>
          <w:sz w:val="24"/>
          <w:szCs w:val="24"/>
          <w:lang w:val="en-US"/>
        </w:rPr>
        <w:t>). Thirteen such cancers are known, the Canine transmissible veneral tumour (CTVT) in domestic dogs (</w:t>
      </w:r>
      <w:r>
        <w:rPr>
          <w:rFonts w:ascii="Times New Roman" w:hAnsi="Times New Roman" w:cs="Times New Roman"/>
          <w:color w:val="FF0000"/>
          <w:sz w:val="24"/>
          <w:szCs w:val="24"/>
          <w:lang w:val="en-US"/>
        </w:rPr>
        <w:t>Murgia et al., 2006; Rebbeck et al., 2009</w:t>
      </w:r>
      <w:r>
        <w:rPr>
          <w:rFonts w:ascii="Times New Roman" w:hAnsi="Times New Roman" w:cs="Times New Roman"/>
          <w:color w:val="0070C0"/>
          <w:sz w:val="24"/>
          <w:szCs w:val="24"/>
          <w:lang w:val="en-US"/>
        </w:rPr>
        <w:t>), two independently evolved lineages of D</w:t>
      </w:r>
      <w:r>
        <w:rPr>
          <w:rFonts w:ascii="Times New Roman" w:hAnsi="Times New Roman" w:cs="Times New Roman"/>
          <w:color w:val="0070C0"/>
          <w:sz w:val="24"/>
          <w:szCs w:val="24"/>
          <w:shd w:val="clear" w:color="auto" w:fill="FFFFFF"/>
          <w:lang w:val="en-US"/>
        </w:rPr>
        <w:t xml:space="preserve">evil facial tumour disease (DFTD1, DFTD2) in </w:t>
      </w:r>
      <w:r>
        <w:rPr>
          <w:rFonts w:ascii="Times New Roman" w:hAnsi="Times New Roman" w:cs="Times New Roman"/>
          <w:color w:val="0070C0"/>
          <w:sz w:val="24"/>
          <w:szCs w:val="24"/>
          <w:lang w:val="en-US"/>
        </w:rPr>
        <w:t xml:space="preserve">Tasmanian devils </w:t>
      </w:r>
      <w:r>
        <w:rPr>
          <w:rFonts w:ascii="Times New Roman" w:hAnsi="Times New Roman" w:cs="Times New Roman"/>
          <w:i/>
          <w:color w:val="0070C0"/>
          <w:sz w:val="24"/>
          <w:szCs w:val="24"/>
          <w:lang w:val="en-US"/>
        </w:rPr>
        <w:t>Sarcophilus harrisii</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Pearse &amp; Swift, 2006, Pye et al., 2016</w:t>
      </w:r>
      <w:r>
        <w:rPr>
          <w:rFonts w:ascii="Times New Roman" w:hAnsi="Times New Roman" w:cs="Times New Roman"/>
          <w:color w:val="0070C0"/>
          <w:sz w:val="24"/>
          <w:szCs w:val="24"/>
          <w:lang w:val="en-US"/>
        </w:rPr>
        <w:t>), and 10 lineages of  Bivalve transmittable neoplasia (BTN</w:t>
      </w:r>
      <w:r>
        <w:rPr>
          <w:rFonts w:ascii="Times New Roman" w:hAnsi="Times New Roman" w:cs="Times New Roman"/>
          <w:color w:val="4874CB" w:themeColor="accent1"/>
          <w:sz w:val="24"/>
          <w:szCs w:val="24"/>
          <w:lang w:val="en-US"/>
          <w14:textFill>
            <w14:solidFill>
              <w14:schemeClr w14:val="accent1"/>
            </w14:solidFill>
          </w14:textFill>
        </w:rPr>
        <w:t xml:space="preserve">), </w:t>
      </w:r>
      <w:r>
        <w:rPr>
          <w:rFonts w:ascii="Times New Roman" w:hAnsi="Times New Roman" w:cs="Times New Roman"/>
          <w:color w:val="0070C0"/>
          <w:sz w:val="24"/>
          <w:szCs w:val="24"/>
          <w:lang w:val="en-US"/>
        </w:rPr>
        <w:t>including three cases when two lineages derived from the same species, in marine bivalves (</w:t>
      </w:r>
      <w:r>
        <w:rPr>
          <w:rFonts w:ascii="Times New Roman" w:hAnsi="Times New Roman" w:cs="Times New Roman"/>
          <w:color w:val="FF0000"/>
          <w:sz w:val="24"/>
          <w:szCs w:val="24"/>
          <w:lang w:val="en-US"/>
        </w:rPr>
        <w:t>Metzger et al. 2015, 2016; Garcia-Souto et al. 2022; Michnowska et al., 2022; Yonemitsu et al., 2019, 2025</w:t>
      </w:r>
      <w:r>
        <w:rPr>
          <w:rFonts w:ascii="Times New Roman" w:hAnsi="Times New Roman" w:cs="Times New Roman"/>
          <w:color w:val="0070C0"/>
          <w:sz w:val="24"/>
          <w:szCs w:val="24"/>
          <w:lang w:val="en-US"/>
        </w:rPr>
        <w:t>). CTVT and DFTDs are solid tumors and cancer cells are transmitted between animals through sexual contacts and biting, respectively. BTN is a hemolympharic cancer, or disseminated neoplasia (DN) (</w:t>
      </w:r>
      <w:r>
        <w:rPr>
          <w:rFonts w:ascii="Times New Roman" w:hAnsi="Times New Roman" w:cs="Times New Roman"/>
          <w:color w:val="FF0000"/>
          <w:sz w:val="24"/>
          <w:szCs w:val="24"/>
          <w:lang w:val="en-US"/>
        </w:rPr>
        <w:t>see references above</w:t>
      </w:r>
      <w:r>
        <w:rPr>
          <w:rFonts w:ascii="Times New Roman" w:hAnsi="Times New Roman" w:cs="Times New Roman"/>
          <w:color w:val="0070C0"/>
          <w:sz w:val="24"/>
          <w:szCs w:val="24"/>
          <w:lang w:val="en-US"/>
        </w:rPr>
        <w:t>). Under DN, the disease primarily affects the hemolymph but eventually infiltrates all tissues and organs (</w:t>
      </w:r>
      <w:r>
        <w:rPr>
          <w:rFonts w:ascii="Times New Roman" w:hAnsi="Times New Roman" w:cs="Times New Roman"/>
          <w:color w:val="FF0000"/>
          <w:sz w:val="24"/>
          <w:szCs w:val="24"/>
          <w:lang w:val="en-US"/>
        </w:rPr>
        <w:t>Carballal et al. 2015; Odintsova 2020</w:t>
      </w:r>
      <w:r>
        <w:rPr>
          <w:rFonts w:ascii="Times New Roman" w:hAnsi="Times New Roman" w:cs="Times New Roman"/>
          <w:color w:val="0070C0"/>
          <w:sz w:val="24"/>
          <w:szCs w:val="24"/>
          <w:lang w:val="en-US"/>
        </w:rPr>
        <w:t xml:space="preserve">). The cancerous cells </w:t>
      </w:r>
      <w:r>
        <w:rPr>
          <w:rFonts w:ascii="Times New Roman" w:hAnsi="Times New Roman" w:cs="Times New Roman"/>
          <w:color w:val="0070C0"/>
          <w:sz w:val="24"/>
          <w:szCs w:val="24"/>
          <w:highlight w:val="yellow"/>
          <w:lang w:val="en-US"/>
        </w:rPr>
        <w:t>- neoplastic hemocytes -</w:t>
      </w:r>
      <w:r>
        <w:rPr>
          <w:rFonts w:ascii="Times New Roman" w:hAnsi="Times New Roman" w:cs="Times New Roman"/>
          <w:color w:val="0070C0"/>
          <w:sz w:val="24"/>
          <w:szCs w:val="24"/>
          <w:lang w:val="en-US"/>
        </w:rPr>
        <w:t xml:space="preserve"> are passed between molluscs through water column where cells survive for days and even weeks (</w:t>
      </w:r>
      <w:r>
        <w:rPr>
          <w:rFonts w:ascii="Times New Roman" w:hAnsi="Times New Roman" w:cs="Times New Roman"/>
          <w:color w:val="FF0000"/>
          <w:sz w:val="24"/>
          <w:szCs w:val="24"/>
          <w:lang w:val="en-US"/>
        </w:rPr>
        <w:t>Burioli et al., 2021; Giersch et al., 2022</w:t>
      </w:r>
      <w:r>
        <w:rPr>
          <w:rFonts w:ascii="Times New Roman" w:hAnsi="Times New Roman" w:cs="Times New Roman"/>
          <w:color w:val="0070C0"/>
          <w:sz w:val="24"/>
          <w:szCs w:val="24"/>
          <w:lang w:val="en-US"/>
        </w:rPr>
        <w:t xml:space="preserve">). </w:t>
      </w:r>
      <w:commentRangeStart w:id="0"/>
      <w:r>
        <w:rPr>
          <w:rFonts w:ascii="Times New Roman" w:hAnsi="Times New Roman" w:cs="Times New Roman"/>
          <w:color w:val="0070C0"/>
          <w:sz w:val="24"/>
          <w:szCs w:val="24"/>
          <w:lang w:val="en-US"/>
        </w:rPr>
        <w:t xml:space="preserve">In addition, vertically transmitted cancers are known in cnidarian </w:t>
      </w:r>
      <w:r>
        <w:rPr>
          <w:rFonts w:ascii="Times New Roman" w:hAnsi="Times New Roman" w:cs="Times New Roman"/>
          <w:i/>
          <w:color w:val="0070C0"/>
          <w:sz w:val="24"/>
          <w:szCs w:val="24"/>
          <w:lang w:val="en-US"/>
        </w:rPr>
        <w:t>Hydra oligactis</w:t>
      </w:r>
      <w:r>
        <w:rPr>
          <w:rFonts w:ascii="Times New Roman" w:hAnsi="Times New Roman" w:cs="Times New Roman"/>
          <w:color w:val="0070C0"/>
          <w:sz w:val="24"/>
          <w:szCs w:val="24"/>
          <w:lang w:val="en-US"/>
        </w:rPr>
        <w:t xml:space="preserve"> when cancer cells are transmitted through the asexual reproduction of its host, by budding (</w:t>
      </w:r>
      <w:r>
        <w:rPr>
          <w:rFonts w:ascii="Times New Roman" w:hAnsi="Times New Roman" w:cs="Times New Roman"/>
          <w:color w:val="FF0000"/>
          <w:sz w:val="24"/>
          <w:szCs w:val="24"/>
          <w:lang w:val="en-US"/>
        </w:rPr>
        <w:t>Domazet-Lošo et al. 2014; Tissot et al. 2024</w:t>
      </w:r>
      <w:r>
        <w:rPr>
          <w:rFonts w:ascii="Times New Roman" w:hAnsi="Times New Roman" w:cs="Times New Roman"/>
          <w:color w:val="0070C0"/>
          <w:sz w:val="24"/>
          <w:szCs w:val="24"/>
          <w:lang w:val="en-US"/>
        </w:rPr>
        <w:t>).</w:t>
      </w:r>
      <w:commentRangeEnd w:id="0"/>
      <w:r>
        <w:commentReference w:id="0"/>
      </w:r>
    </w:p>
    <w:p w14:paraId="66F7A6E0">
      <w:pPr>
        <w:rPr>
          <w:rFonts w:ascii="Times New Roman" w:hAnsi="Times New Roman" w:cs="Times New Roman"/>
          <w:color w:val="0070C0"/>
          <w:sz w:val="24"/>
          <w:szCs w:val="24"/>
          <w:shd w:val="clear" w:color="auto" w:fill="FFFFFF"/>
          <w:lang w:val="en-US"/>
        </w:rPr>
      </w:pPr>
      <w:r>
        <w:rPr>
          <w:rFonts w:ascii="Times New Roman" w:hAnsi="Times New Roman" w:cs="Times New Roman"/>
          <w:color w:val="0070C0"/>
          <w:sz w:val="24"/>
          <w:szCs w:val="24"/>
          <w:lang w:val="en-US"/>
        </w:rPr>
        <w:t>Transmissible cancers are basically asexual but may be prone to horizontal transfer of mtDNA from their hosts (</w:t>
      </w:r>
      <w:r>
        <w:rPr>
          <w:rFonts w:ascii="Times New Roman" w:hAnsi="Times New Roman" w:cs="Times New Roman"/>
          <w:color w:val="FF0000"/>
          <w:sz w:val="24"/>
          <w:szCs w:val="24"/>
          <w:lang w:val="en-US"/>
        </w:rPr>
        <w:t>Rebbeck et al. 2011</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Yonemitsu et al. 2019; 2025</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Bruzos et al. 2023</w:t>
      </w:r>
      <w:r>
        <w:rPr>
          <w:rFonts w:ascii="Times New Roman" w:hAnsi="Times New Roman" w:cs="Times New Roman"/>
          <w:color w:val="0070C0"/>
          <w:sz w:val="24"/>
          <w:szCs w:val="24"/>
          <w:lang w:val="en-US"/>
        </w:rPr>
        <w:t>), and even nuclear DNA, as have been shown in a recent CTVT study (</w:t>
      </w:r>
      <w:r>
        <w:rPr>
          <w:rFonts w:ascii="Times New Roman" w:hAnsi="Times New Roman" w:cs="Times New Roman"/>
          <w:color w:val="FF0000"/>
          <w:sz w:val="24"/>
          <w:szCs w:val="24"/>
          <w:lang w:val="en-US"/>
        </w:rPr>
        <w:t>Gori et al. 2025</w:t>
      </w:r>
      <w:r>
        <w:rPr>
          <w:rFonts w:ascii="Times New Roman" w:hAnsi="Times New Roman" w:cs="Times New Roman"/>
          <w:color w:val="0070C0"/>
          <w:sz w:val="24"/>
          <w:szCs w:val="24"/>
          <w:lang w:val="en-US"/>
        </w:rPr>
        <w:t>). The estimates of evolutionary age are available for CTVT, 4 to 8.5 thousand years (</w:t>
      </w:r>
      <w:r>
        <w:rPr>
          <w:rFonts w:ascii="Times New Roman" w:hAnsi="Times New Roman" w:cs="Times New Roman"/>
          <w:color w:val="FF0000"/>
          <w:sz w:val="24"/>
          <w:szCs w:val="24"/>
          <w:lang w:val="en-US"/>
        </w:rPr>
        <w:t>Baez-Ortega et al., 2019</w:t>
      </w:r>
      <w:r>
        <w:rPr>
          <w:rFonts w:ascii="Times New Roman" w:hAnsi="Times New Roman" w:cs="Times New Roman"/>
          <w:color w:val="0070C0"/>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color w:val="0070C0"/>
          <w:sz w:val="24"/>
          <w:szCs w:val="24"/>
          <w:shd w:val="clear" w:color="auto" w:fill="FFFFFF"/>
          <w:lang w:val="en-US"/>
        </w:rPr>
        <w:t>DFTD1 and DFTD2, about 40 and 15 years respectively (</w:t>
      </w:r>
      <w:r>
        <w:rPr>
          <w:rFonts w:ascii="Times New Roman" w:hAnsi="Times New Roman" w:cs="Times New Roman"/>
          <w:color w:val="FF0000"/>
          <w:sz w:val="24"/>
          <w:szCs w:val="24"/>
          <w:lang w:val="en-US"/>
        </w:rPr>
        <w:t>Stammnitz et al. 2023</w:t>
      </w:r>
      <w:r>
        <w:rPr>
          <w:rFonts w:ascii="Times New Roman" w:hAnsi="Times New Roman" w:cs="Times New Roman"/>
          <w:color w:val="0070C0"/>
          <w:sz w:val="24"/>
          <w:szCs w:val="24"/>
          <w:shd w:val="clear" w:color="auto" w:fill="FFFFFF"/>
          <w:lang w:val="en-US"/>
        </w:rPr>
        <w:t xml:space="preserve">), and BTN of soft shell clam </w:t>
      </w:r>
      <w:r>
        <w:rPr>
          <w:rFonts w:ascii="Times New Roman" w:hAnsi="Times New Roman" w:cs="Times New Roman"/>
          <w:i/>
          <w:color w:val="0070C0"/>
          <w:sz w:val="24"/>
          <w:szCs w:val="24"/>
          <w:shd w:val="clear" w:color="auto" w:fill="FFFFFF"/>
          <w:lang w:val="en-US"/>
        </w:rPr>
        <w:t>Mya arenaria</w:t>
      </w:r>
      <w:r>
        <w:rPr>
          <w:rFonts w:ascii="Times New Roman" w:hAnsi="Times New Roman" w:cs="Times New Roman"/>
          <w:color w:val="0070C0"/>
          <w:sz w:val="24"/>
          <w:szCs w:val="24"/>
          <w:shd w:val="clear" w:color="auto" w:fill="FFFFFF"/>
          <w:lang w:val="en-US"/>
        </w:rPr>
        <w:t>, several hundred years (</w:t>
      </w:r>
      <w:r>
        <w:rPr>
          <w:rFonts w:ascii="Times New Roman" w:hAnsi="Times New Roman" w:cs="Times New Roman"/>
          <w:color w:val="FF0000"/>
          <w:sz w:val="24"/>
          <w:szCs w:val="24"/>
          <w:shd w:val="clear" w:color="auto" w:fill="FFFFFF"/>
          <w:lang w:val="en-US"/>
        </w:rPr>
        <w:t>Hart et al. 2023</w:t>
      </w:r>
      <w:r>
        <w:rPr>
          <w:rFonts w:ascii="Times New Roman" w:hAnsi="Times New Roman" w:cs="Times New Roman"/>
          <w:color w:val="0070C0"/>
          <w:sz w:val="24"/>
          <w:szCs w:val="24"/>
          <w:shd w:val="clear" w:color="auto" w:fill="FFFFFF"/>
          <w:lang w:val="en-US"/>
        </w:rPr>
        <w:t xml:space="preserve">). Fatal outbreaks of CTC were recorded in molluscs </w:t>
      </w:r>
      <w:r>
        <w:rPr>
          <w:rFonts w:ascii="Times New Roman" w:hAnsi="Times New Roman" w:cs="Times New Roman"/>
          <w:color w:val="1B1B1B"/>
          <w:sz w:val="24"/>
          <w:szCs w:val="24"/>
          <w:shd w:val="clear" w:color="auto" w:fill="FFFFFF"/>
          <w:lang w:val="en-US"/>
        </w:rPr>
        <w:t>(</w:t>
      </w:r>
      <w:r>
        <w:rPr>
          <w:rFonts w:ascii="Times New Roman" w:hAnsi="Times New Roman" w:cs="Times New Roman"/>
          <w:color w:val="1B1B1B"/>
          <w:sz w:val="24"/>
          <w:szCs w:val="24"/>
          <w:highlight w:val="yellow"/>
          <w:shd w:val="clear" w:color="auto" w:fill="FFFFFF"/>
          <w:lang w:val="en-US"/>
        </w:rPr>
        <w:t>mya story -</w:t>
      </w:r>
      <w:r>
        <w:rPr>
          <w:rFonts w:ascii="Times New Roman" w:hAnsi="Times New Roman" w:cs="Times New Roman"/>
          <w:color w:val="1B1B1B"/>
          <w:sz w:val="24"/>
          <w:szCs w:val="24"/>
          <w:shd w:val="clear" w:color="auto" w:fill="FFFFFF"/>
          <w:lang w:val="en-US"/>
        </w:rPr>
        <w:t xml:space="preserve"> </w:t>
      </w:r>
      <w:r>
        <w:rPr>
          <w:rFonts w:ascii="Times New Roman" w:hAnsi="Times New Roman" w:cs="Times New Roman"/>
          <w:color w:val="FF0000"/>
          <w:sz w:val="24"/>
          <w:szCs w:val="24"/>
          <w:shd w:val="clear" w:color="auto" w:fill="FFFFFF"/>
          <w:lang w:val="en-US"/>
        </w:rPr>
        <w:t>Weinandt et al. 2024</w:t>
      </w:r>
      <w:r>
        <w:rPr>
          <w:rFonts w:ascii="Times New Roman" w:hAnsi="Times New Roman" w:cs="Times New Roman"/>
          <w:color w:val="1B1B1B"/>
          <w:sz w:val="24"/>
          <w:szCs w:val="24"/>
          <w:highlight w:val="yellow"/>
          <w:shd w:val="clear" w:color="auto" w:fill="FFFFFF"/>
          <w:lang w:val="en-US"/>
        </w:rPr>
        <w:t xml:space="preserve">; </w:t>
      </w:r>
      <w:r>
        <w:rPr>
          <w:rFonts w:ascii="Times New Roman" w:hAnsi="Times New Roman" w:cs="Times New Roman"/>
          <w:color w:val="FF0000"/>
          <w:sz w:val="24"/>
          <w:szCs w:val="24"/>
          <w:highlight w:val="yellow"/>
          <w:shd w:val="clear" w:color="auto" w:fill="FFFFFF"/>
          <w:lang w:val="en-US"/>
        </w:rPr>
        <w:t>Skazina et al. 2023b</w:t>
      </w:r>
      <w:r>
        <w:rPr>
          <w:rFonts w:ascii="Times New Roman" w:hAnsi="Times New Roman" w:cs="Times New Roman"/>
          <w:color w:val="FF0000"/>
          <w:sz w:val="24"/>
          <w:szCs w:val="24"/>
          <w:shd w:val="clear" w:color="auto" w:fill="FFFFFF"/>
          <w:lang w:val="en-US"/>
        </w:rPr>
        <w:t xml:space="preserve"> – </w:t>
      </w:r>
      <w:r>
        <w:rPr>
          <w:rFonts w:ascii="Times New Roman" w:hAnsi="Times New Roman" w:cs="Times New Roman"/>
          <w:color w:val="FF0000"/>
          <w:sz w:val="24"/>
          <w:szCs w:val="24"/>
          <w:highlight w:val="yellow"/>
          <w:shd w:val="clear" w:color="auto" w:fill="FFFFFF"/>
        </w:rPr>
        <w:t>что</w:t>
      </w:r>
      <w:r>
        <w:rPr>
          <w:rFonts w:ascii="Times New Roman" w:hAnsi="Times New Roman" w:cs="Times New Roman"/>
          <w:color w:val="FF0000"/>
          <w:sz w:val="24"/>
          <w:szCs w:val="24"/>
          <w:highlight w:val="yellow"/>
          <w:shd w:val="clear" w:color="auto" w:fill="FFFFFF"/>
          <w:lang w:val="en-US"/>
        </w:rPr>
        <w:t xml:space="preserve"> </w:t>
      </w:r>
      <w:r>
        <w:rPr>
          <w:rFonts w:ascii="Times New Roman" w:hAnsi="Times New Roman" w:cs="Times New Roman"/>
          <w:color w:val="FF0000"/>
          <w:sz w:val="24"/>
          <w:szCs w:val="24"/>
          <w:highlight w:val="yellow"/>
          <w:shd w:val="clear" w:color="auto" w:fill="FFFFFF"/>
        </w:rPr>
        <w:t>церастодерма</w:t>
      </w:r>
      <w:r>
        <w:rPr>
          <w:rFonts w:ascii="Times New Roman" w:hAnsi="Times New Roman" w:cs="Times New Roman"/>
          <w:color w:val="FF0000"/>
          <w:sz w:val="24"/>
          <w:szCs w:val="24"/>
          <w:highlight w:val="yellow"/>
          <w:shd w:val="clear" w:color="auto" w:fill="FFFFFF"/>
          <w:lang w:val="en-US"/>
        </w:rPr>
        <w:t>?</w:t>
      </w:r>
      <w:r>
        <w:rPr>
          <w:rFonts w:ascii="Times New Roman" w:hAnsi="Times New Roman" w:cs="Times New Roman"/>
          <w:color w:val="1B1B1B"/>
          <w:sz w:val="24"/>
          <w:szCs w:val="24"/>
          <w:shd w:val="clear" w:color="auto" w:fill="FFFFFF"/>
          <w:lang w:val="en-US"/>
        </w:rPr>
        <w:t xml:space="preserve">) </w:t>
      </w:r>
      <w:r>
        <w:rPr>
          <w:rFonts w:ascii="Times New Roman" w:hAnsi="Times New Roman" w:cs="Times New Roman"/>
          <w:color w:val="0070C0"/>
          <w:sz w:val="24"/>
          <w:szCs w:val="24"/>
          <w:shd w:val="clear" w:color="auto" w:fill="FFFFFF"/>
          <w:lang w:val="en-US"/>
        </w:rPr>
        <w:t>and in devils (</w:t>
      </w:r>
      <w:r>
        <w:rPr>
          <w:rFonts w:ascii="Times New Roman" w:hAnsi="Times New Roman" w:cs="Times New Roman"/>
          <w:color w:val="FF0000"/>
          <w:sz w:val="24"/>
          <w:szCs w:val="24"/>
          <w:shd w:val="clear" w:color="auto" w:fill="FFFFFF"/>
          <w:lang w:val="en-US"/>
        </w:rPr>
        <w:t>Cunningham et al. 2021</w:t>
      </w:r>
      <w:r>
        <w:rPr>
          <w:rFonts w:ascii="Times New Roman" w:hAnsi="Times New Roman" w:cs="Times New Roman"/>
          <w:color w:val="0070C0"/>
          <w:sz w:val="24"/>
          <w:szCs w:val="24"/>
          <w:shd w:val="clear" w:color="auto" w:fill="FFFFFF"/>
          <w:lang w:val="en-US"/>
        </w:rPr>
        <w:t>)</w:t>
      </w:r>
      <w:r>
        <w:rPr>
          <w:rFonts w:ascii="Times New Roman" w:hAnsi="Times New Roman" w:cs="Times New Roman"/>
          <w:color w:val="1B1B1B"/>
          <w:sz w:val="24"/>
          <w:szCs w:val="24"/>
          <w:shd w:val="clear" w:color="auto" w:fill="FFFFFF"/>
          <w:lang w:val="en-US"/>
        </w:rPr>
        <w:t xml:space="preserve">. </w:t>
      </w:r>
      <w:r>
        <w:rPr>
          <w:rFonts w:ascii="Times New Roman" w:hAnsi="Times New Roman" w:cs="Times New Roman"/>
          <w:color w:val="0070C0"/>
          <w:sz w:val="24"/>
          <w:szCs w:val="24"/>
          <w:shd w:val="clear" w:color="auto" w:fill="FFFFFF"/>
          <w:lang w:val="en-US"/>
        </w:rPr>
        <w:t xml:space="preserve">The later may be explained by the young age of DFTD lineages, hence short history of host-pathogen coevolution </w:t>
      </w:r>
      <w:r>
        <w:rPr>
          <w:rFonts w:ascii="Times New Roman" w:hAnsi="Times New Roman" w:cs="Times New Roman"/>
          <w:color w:val="1B1B1B"/>
          <w:sz w:val="24"/>
          <w:szCs w:val="24"/>
          <w:shd w:val="clear" w:color="auto" w:fill="FFFFFF"/>
          <w:lang w:val="en-US"/>
        </w:rPr>
        <w:t>(</w:t>
      </w:r>
      <w:r>
        <w:rPr>
          <w:rFonts w:ascii="Times New Roman" w:hAnsi="Times New Roman" w:cs="Times New Roman"/>
          <w:color w:val="FF0000"/>
          <w:sz w:val="24"/>
          <w:szCs w:val="24"/>
          <w:lang w:val="en-US"/>
        </w:rPr>
        <w:t>Storfer et al. 2025</w:t>
      </w:r>
      <w:r>
        <w:rPr>
          <w:rFonts w:ascii="Times New Roman" w:hAnsi="Times New Roman" w:cs="Times New Roman"/>
          <w:sz w:val="24"/>
          <w:szCs w:val="24"/>
          <w:lang w:val="en-US"/>
        </w:rPr>
        <w:t xml:space="preserve"> </w:t>
      </w:r>
      <w:r>
        <w:rPr>
          <w:rFonts w:ascii="Times New Roman" w:hAnsi="Times New Roman" w:cs="Times New Roman"/>
          <w:color w:val="0070C0"/>
          <w:sz w:val="24"/>
          <w:szCs w:val="24"/>
          <w:shd w:val="clear" w:color="auto" w:fill="FFFFFF"/>
          <w:lang w:val="en-US"/>
        </w:rPr>
        <w:t>and references therein).</w:t>
      </w:r>
    </w:p>
    <w:p w14:paraId="7A3F9860">
      <w:pPr>
        <w:rPr>
          <w:rFonts w:ascii="Times New Roman" w:hAnsi="Times New Roman" w:cs="Times New Roman"/>
          <w:color w:val="0070C0"/>
          <w:sz w:val="24"/>
          <w:szCs w:val="24"/>
          <w:lang w:val="en-US"/>
        </w:rPr>
      </w:pPr>
      <w:r>
        <w:rPr>
          <w:rFonts w:ascii="Times New Roman" w:hAnsi="Times New Roman" w:cs="Times New Roman"/>
          <w:color w:val="0070C0"/>
          <w:sz w:val="24"/>
          <w:szCs w:val="24"/>
        </w:rPr>
        <w:t>СТС</w:t>
      </w:r>
      <w:r>
        <w:rPr>
          <w:rFonts w:ascii="Times New Roman" w:hAnsi="Times New Roman" w:cs="Times New Roman"/>
          <w:color w:val="0070C0"/>
          <w:sz w:val="24"/>
          <w:szCs w:val="24"/>
          <w:lang w:val="en-US"/>
        </w:rPr>
        <w:t xml:space="preserve"> is a distinct modality of the infectious </w:t>
      </w:r>
      <w:commentRangeStart w:id="1"/>
      <w:r>
        <w:rPr>
          <w:rFonts w:ascii="Times New Roman" w:hAnsi="Times New Roman" w:cs="Times New Roman"/>
          <w:color w:val="0070C0"/>
          <w:sz w:val="24"/>
          <w:szCs w:val="24"/>
          <w:highlight w:val="yellow"/>
          <w:lang w:val="en-US"/>
        </w:rPr>
        <w:t>agent</w:t>
      </w:r>
      <w:commentRangeEnd w:id="1"/>
      <w:r>
        <w:commentReference w:id="1"/>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shd w:val="clear" w:color="auto" w:fill="FFFFFF"/>
          <w:lang w:val="en-US"/>
        </w:rPr>
        <w:t>Metzger, Goff 2016</w:t>
      </w:r>
      <w:r>
        <w:rPr>
          <w:rFonts w:ascii="Times New Roman" w:hAnsi="Times New Roman" w:cs="Times New Roman"/>
          <w:color w:val="0070C0"/>
          <w:sz w:val="24"/>
          <w:szCs w:val="24"/>
          <w:lang w:val="en-US"/>
        </w:rPr>
        <w:t xml:space="preserve">). Like any parasites, transmissible cancers </w:t>
      </w:r>
      <w:r>
        <w:rPr>
          <w:rFonts w:ascii="Times New Roman" w:hAnsi="Times New Roman" w:cs="Times New Roman"/>
          <w:color w:val="0070C0"/>
          <w:sz w:val="24"/>
          <w:szCs w:val="24"/>
          <w:highlight w:val="yellow"/>
          <w:lang w:val="en-US"/>
        </w:rPr>
        <w:t>may</w:t>
      </w:r>
      <w:r>
        <w:rPr>
          <w:rFonts w:ascii="Times New Roman" w:hAnsi="Times New Roman" w:cs="Times New Roman"/>
          <w:color w:val="0070C0"/>
          <w:sz w:val="24"/>
          <w:szCs w:val="24"/>
          <w:lang w:val="en-US"/>
        </w:rPr>
        <w:t xml:space="preserve"> manipulate their hosts i.e. to change the host’s phenotype in order to increase the parasite fitness (</w:t>
      </w:r>
      <w:r>
        <w:rPr>
          <w:rFonts w:ascii="Times New Roman" w:hAnsi="Times New Roman" w:cs="Times New Roman"/>
          <w:color w:val="FF0000"/>
          <w:sz w:val="24"/>
          <w:szCs w:val="24"/>
          <w:lang w:val="en-US"/>
        </w:rPr>
        <w:t>Tissot et al. 2016</w:t>
      </w:r>
      <w:r>
        <w:rPr>
          <w:rFonts w:ascii="Times New Roman" w:hAnsi="Times New Roman" w:cs="Times New Roman"/>
          <w:color w:val="0070C0"/>
          <w:sz w:val="24"/>
          <w:szCs w:val="24"/>
          <w:lang w:val="en-US"/>
        </w:rPr>
        <w:t xml:space="preserve">). Convincing evidence in support of this hypothesis has been obtained for vertically transmitted cancers in </w:t>
      </w:r>
      <w:r>
        <w:rPr>
          <w:rFonts w:ascii="Times New Roman" w:hAnsi="Times New Roman" w:cs="Times New Roman"/>
          <w:i/>
          <w:color w:val="0070C0"/>
          <w:sz w:val="24"/>
          <w:szCs w:val="24"/>
          <w:lang w:val="en-US"/>
        </w:rPr>
        <w:t>Hydra</w:t>
      </w:r>
      <w:r>
        <w:rPr>
          <w:rFonts w:ascii="Times New Roman" w:hAnsi="Times New Roman" w:cs="Times New Roman"/>
          <w:color w:val="0070C0"/>
          <w:sz w:val="24"/>
          <w:szCs w:val="24"/>
          <w:lang w:val="en-US"/>
        </w:rPr>
        <w:t>: the cancer triggers the growth of additional tentacles in their hosts, which provides the host with higher foraging efficiency and the cancer itself with increased proliferation (</w:t>
      </w:r>
      <w:r>
        <w:rPr>
          <w:rFonts w:ascii="Times New Roman" w:hAnsi="Times New Roman" w:cs="Times New Roman"/>
          <w:color w:val="FF0000"/>
          <w:sz w:val="24"/>
          <w:szCs w:val="24"/>
          <w:lang w:val="en-US"/>
        </w:rPr>
        <w:t>Boutry et al. 2025</w:t>
      </w:r>
      <w:r>
        <w:rPr>
          <w:rFonts w:ascii="Times New Roman" w:hAnsi="Times New Roman" w:cs="Times New Roman"/>
          <w:color w:val="0070C0"/>
          <w:sz w:val="24"/>
          <w:szCs w:val="24"/>
          <w:lang w:val="en-US"/>
        </w:rPr>
        <w:t>). One potential example of host’s manipulation by horizontally transmissible cancer will be given below.</w:t>
      </w:r>
    </w:p>
    <w:p w14:paraId="1C1A7808">
      <w:pPr>
        <w:rPr>
          <w:color w:val="4874CB" w:themeColor="accent1"/>
          <w:lang w:val="en-US"/>
          <w14:textFill>
            <w14:solidFill>
              <w14:schemeClr w14:val="accent1"/>
            </w14:solidFill>
          </w14:textFill>
        </w:rPr>
      </w:pPr>
      <w:r>
        <w:rPr>
          <w:rFonts w:ascii="Times New Roman" w:hAnsi="Times New Roman" w:cs="Times New Roman"/>
          <w:color w:val="0070C0"/>
          <w:sz w:val="24"/>
          <w:szCs w:val="24"/>
          <w:lang w:val="en-US"/>
        </w:rPr>
        <w:t xml:space="preserve">It is obvious CTC lineages can be interpreted as species (e.g. </w:t>
      </w:r>
      <w:r>
        <w:rPr>
          <w:rFonts w:ascii="Times New Roman" w:hAnsi="Times New Roman" w:cs="Times New Roman"/>
          <w:color w:val="FF0000"/>
          <w:sz w:val="24"/>
          <w:szCs w:val="24"/>
          <w:lang w:val="en-US"/>
        </w:rPr>
        <w:t>Vincent 2010</w:t>
      </w:r>
      <w:r>
        <w:rPr>
          <w:rFonts w:ascii="Times New Roman" w:hAnsi="Times New Roman" w:cs="Times New Roman"/>
          <w:color w:val="0070C0"/>
          <w:sz w:val="24"/>
          <w:szCs w:val="24"/>
          <w:lang w:val="en-US"/>
        </w:rPr>
        <w:t>;</w:t>
      </w:r>
      <w:r>
        <w:rPr>
          <w:rFonts w:ascii="Times New Roman" w:hAnsi="Times New Roman" w:cs="Times New Roman"/>
          <w:color w:val="FF0000"/>
          <w:sz w:val="24"/>
          <w:szCs w:val="24"/>
          <w:lang w:val="en-US"/>
        </w:rPr>
        <w:t xml:space="preserve"> Ujvari et al. 2016</w:t>
      </w:r>
      <w:r>
        <w:rPr>
          <w:rFonts w:ascii="Times New Roman" w:hAnsi="Times New Roman" w:cs="Times New Roman"/>
          <w:color w:val="0070C0"/>
          <w:sz w:val="24"/>
          <w:szCs w:val="24"/>
          <w:lang w:val="en-US"/>
        </w:rPr>
        <w:t>), but their supposed ephemerality prevents most experts from recognizing them species as a matter of fact (e.g.</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Metzger, Goff 2016</w:t>
      </w:r>
      <w:r>
        <w:rPr>
          <w:rFonts w:ascii="Times New Roman" w:hAnsi="Times New Roman" w:cs="Times New Roman"/>
          <w:color w:val="0070C0"/>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Leathlobhair, Lenski 2022</w:t>
      </w:r>
      <w:r>
        <w:rPr>
          <w:rFonts w:ascii="Times New Roman" w:hAnsi="Times New Roman" w:cs="Times New Roman"/>
          <w:color w:val="0070C0"/>
          <w:sz w:val="24"/>
          <w:szCs w:val="24"/>
          <w:lang w:val="en-US"/>
        </w:rPr>
        <w:t>). Taking this controversial stance - that CTC lineages are species, and adopting the idea that different species should have different “ecological niches” (</w:t>
      </w:r>
      <w:r>
        <w:rPr>
          <w:rFonts w:ascii="Times New Roman" w:hAnsi="Times New Roman" w:cs="Times New Roman"/>
          <w:color w:val="FF0000"/>
          <w:sz w:val="24"/>
          <w:szCs w:val="24"/>
          <w:lang w:val="en-US"/>
        </w:rPr>
        <w:t>Van Valen 1976</w:t>
      </w:r>
      <w:r>
        <w:rPr>
          <w:rFonts w:ascii="Times New Roman" w:hAnsi="Times New Roman" w:cs="Times New Roman"/>
          <w:color w:val="0070C0"/>
          <w:sz w:val="24"/>
          <w:szCs w:val="24"/>
          <w:lang w:val="en-US"/>
        </w:rPr>
        <w:t xml:space="preserve">) - we arrive at a testable hypothesis: they must possess unique ecological phenotypes, </w:t>
      </w:r>
      <w:r>
        <w:rPr>
          <w:rFonts w:ascii="Times New Roman" w:hAnsi="Times New Roman" w:cs="Times New Roman"/>
          <w:color w:val="0070C0"/>
          <w:sz w:val="24"/>
          <w:szCs w:val="24"/>
          <w:highlight w:val="yellow"/>
          <w:lang w:val="en-US"/>
        </w:rPr>
        <w:t>and</w:t>
      </w:r>
      <w:r>
        <w:rPr>
          <w:rFonts w:ascii="Times New Roman" w:hAnsi="Times New Roman" w:cs="Times New Roman"/>
          <w:color w:val="0070C0"/>
          <w:sz w:val="24"/>
          <w:szCs w:val="24"/>
          <w:lang w:val="en-US"/>
        </w:rPr>
        <w:t xml:space="preserve"> exert differential effects on their hosts. The best models for studying ecological distinction of CTC lineages are “twin lineages”, different lineages derived from the same hosts, in sympatry. Comparative ecological data on such lineages are scarce, which is partly due to their recent discovery in devils and bivalves and by the methodological difficulties of diagnosing BTN (</w:t>
      </w:r>
      <w:r>
        <w:rPr>
          <w:rFonts w:ascii="Times New Roman" w:hAnsi="Times New Roman" w:cs="Times New Roman"/>
          <w:color w:val="FF0000"/>
          <w:sz w:val="24"/>
          <w:szCs w:val="24"/>
          <w:lang w:val="en-US"/>
        </w:rPr>
        <w:t>Skazina et al. 2023a, Skazina et al. 2023b</w:t>
      </w:r>
      <w:r>
        <w:rPr>
          <w:rFonts w:ascii="Times New Roman" w:hAnsi="Times New Roman" w:cs="Times New Roman"/>
          <w:color w:val="0070C0"/>
          <w:sz w:val="24"/>
          <w:szCs w:val="24"/>
          <w:lang w:val="en-US"/>
        </w:rPr>
        <w:t xml:space="preserve">). </w:t>
      </w:r>
      <w:commentRangeStart w:id="2"/>
      <w:r>
        <w:rPr>
          <w:rFonts w:ascii="Times New Roman" w:hAnsi="Times New Roman" w:cs="Times New Roman"/>
          <w:color w:val="0070C0"/>
          <w:sz w:val="24"/>
          <w:szCs w:val="24"/>
          <w:lang w:val="en-US"/>
        </w:rPr>
        <w:t>Based on indirect evidence—features of metabolism and proliferation in cell culture of DFTD1 and DFTD2, the second, more young, lineage is more aggressive (</w:t>
      </w:r>
      <w:r>
        <w:rPr>
          <w:rFonts w:ascii="Times New Roman" w:hAnsi="Times New Roman" w:cs="Times New Roman"/>
          <w:color w:val="FF0000"/>
          <w:sz w:val="24"/>
          <w:szCs w:val="24"/>
          <w:lang w:val="en-US"/>
        </w:rPr>
        <w:t>Gérard et al. 2024</w:t>
      </w:r>
      <w:r>
        <w:rPr>
          <w:rFonts w:ascii="Times New Roman" w:hAnsi="Times New Roman" w:cs="Times New Roman"/>
          <w:color w:val="0070C0"/>
          <w:sz w:val="24"/>
          <w:szCs w:val="24"/>
          <w:lang w:val="en-US"/>
        </w:rPr>
        <w:t>;</w:t>
      </w:r>
      <w:r>
        <w:rPr>
          <w:rFonts w:ascii="Times New Roman" w:hAnsi="Times New Roman" w:cs="Times New Roman"/>
          <w:color w:val="FF0000"/>
          <w:sz w:val="24"/>
          <w:szCs w:val="24"/>
          <w:lang w:val="en-US"/>
        </w:rPr>
        <w:t xml:space="preserve"> Gérard et al. 2026</w:t>
      </w:r>
      <w:r>
        <w:rPr>
          <w:rFonts w:ascii="Times New Roman" w:hAnsi="Times New Roman" w:cs="Times New Roman"/>
          <w:color w:val="0070C0"/>
          <w:sz w:val="24"/>
          <w:szCs w:val="24"/>
          <w:lang w:val="en-US"/>
        </w:rPr>
        <w:t xml:space="preserve">). </w:t>
      </w:r>
      <w:commentRangeEnd w:id="2"/>
      <w:r>
        <w:commentReference w:id="2"/>
      </w:r>
      <w:r>
        <w:rPr>
          <w:rFonts w:ascii="Times New Roman" w:hAnsi="Times New Roman" w:cs="Times New Roman"/>
          <w:color w:val="0070C0"/>
          <w:sz w:val="24"/>
          <w:szCs w:val="24"/>
          <w:lang w:val="en-US"/>
        </w:rPr>
        <w:t xml:space="preserve">For BTN, the best studied are the blue mussel </w:t>
      </w:r>
      <w:r>
        <w:rPr>
          <w:rFonts w:ascii="Times New Roman" w:hAnsi="Times New Roman" w:cs="Times New Roman"/>
          <w:i/>
          <w:color w:val="0070C0"/>
          <w:sz w:val="24"/>
          <w:szCs w:val="24"/>
          <w:lang w:val="en-US"/>
        </w:rPr>
        <w:t>Mytilus trossulus</w:t>
      </w:r>
      <w:r>
        <w:rPr>
          <w:rFonts w:ascii="Times New Roman" w:hAnsi="Times New Roman" w:cs="Times New Roman"/>
          <w:color w:val="0070C0"/>
          <w:sz w:val="24"/>
          <w:szCs w:val="24"/>
          <w:lang w:val="en-US"/>
        </w:rPr>
        <w:t xml:space="preserve"> derived lineages, MtrBTN1 and MtrBTN2, which are the subjects of the present study.</w:t>
      </w:r>
      <w:r>
        <w:rPr>
          <w:color w:val="4874CB" w:themeColor="accent1"/>
          <w:lang w:val="en-US"/>
          <w14:textFill>
            <w14:solidFill>
              <w14:schemeClr w14:val="accent1"/>
            </w14:solidFill>
          </w14:textFill>
        </w:rPr>
        <w:t xml:space="preserve"> </w:t>
      </w:r>
    </w:p>
    <w:p w14:paraId="22184E8B">
      <w:r>
        <w:rPr>
          <w:highlight w:val="yellow"/>
        </w:rPr>
        <w:t>Что накопали про мию?</w:t>
      </w:r>
      <w:r>
        <w:rPr>
          <w:lang w:val="en-US"/>
        </w:rPr>
        <w:t xml:space="preserve"> </w:t>
      </w:r>
    </w:p>
    <w:p w14:paraId="776A86F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The age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is not known for certain. According to limited molecular data, their age appears to be similar and closer to the age of </w:t>
      </w:r>
      <w:r>
        <w:rPr>
          <w:rFonts w:ascii="Times New Roman" w:hAnsi="Times New Roman" w:cs="Times New Roman"/>
          <w:i/>
          <w:color w:val="0070C0"/>
          <w:sz w:val="24"/>
          <w:szCs w:val="24"/>
          <w:lang w:val="en-US"/>
        </w:rPr>
        <w:t>Mya</w:t>
      </w:r>
      <w:r>
        <w:rPr>
          <w:rFonts w:ascii="Times New Roman" w:hAnsi="Times New Roman" w:cs="Times New Roman"/>
          <w:color w:val="0070C0"/>
          <w:sz w:val="24"/>
          <w:szCs w:val="24"/>
          <w:lang w:val="en-US"/>
        </w:rPr>
        <w:t xml:space="preserve"> BTN than to CTVT or DFTD (</w:t>
      </w:r>
      <w:r>
        <w:rPr>
          <w:rFonts w:ascii="Times New Roman" w:hAnsi="Times New Roman" w:cs="Times New Roman"/>
          <w:color w:val="FF0000"/>
          <w:sz w:val="24"/>
          <w:szCs w:val="24"/>
          <w:lang w:val="en-US"/>
        </w:rPr>
        <w:t>Yonemitsu et al. 2019</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Buriloi et al. 2023</w:t>
      </w:r>
      <w:r>
        <w:rPr>
          <w:rFonts w:ascii="Times New Roman" w:hAnsi="Times New Roman" w:cs="Times New Roman"/>
          <w:color w:val="0070C0"/>
          <w:sz w:val="24"/>
          <w:szCs w:val="24"/>
          <w:lang w:val="en-US"/>
        </w:rPr>
        <w:t xml:space="preserve">). </w:t>
      </w:r>
      <w:commentRangeStart w:id="3"/>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parasitizes its parent species,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 xml:space="preserve">, and is distributed in the </w:t>
      </w:r>
      <w:r>
        <w:rPr>
          <w:rFonts w:ascii="Times New Roman" w:hAnsi="Times New Roman" w:cs="Times New Roman"/>
          <w:color w:val="0070C0"/>
          <w:sz w:val="24"/>
          <w:szCs w:val="24"/>
          <w:shd w:val="clear" w:color="auto" w:fill="FFFF00"/>
          <w:lang w:val="en-US"/>
        </w:rPr>
        <w:t xml:space="preserve">northern Pacific Ocean </w:t>
      </w:r>
      <w:r>
        <w:rPr>
          <w:rFonts w:ascii="Times New Roman" w:hAnsi="Times New Roman" w:cs="Times New Roman"/>
          <w:color w:val="0070C0"/>
          <w:sz w:val="24"/>
          <w:szCs w:val="24"/>
          <w:lang w:val="en-US"/>
        </w:rPr>
        <w:t>and European subarctic</w:t>
      </w:r>
      <w:commentRangeEnd w:id="3"/>
      <w:r>
        <w:commentReference w:id="3"/>
      </w:r>
      <w:r>
        <w:rPr>
          <w:rFonts w:ascii="Times New Roman" w:hAnsi="Times New Roman" w:cs="Times New Roman"/>
          <w:color w:val="0070C0"/>
          <w:sz w:val="24"/>
          <w:szCs w:val="24"/>
          <w:lang w:val="en-US"/>
        </w:rPr>
        <w:t xml:space="preserve">.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parasitizes three other species of </w:t>
      </w:r>
      <w:r>
        <w:rPr>
          <w:rFonts w:ascii="Times New Roman" w:hAnsi="Times New Roman" w:cs="Times New Roman"/>
          <w:i/>
          <w:color w:val="0070C0"/>
          <w:sz w:val="24"/>
          <w:szCs w:val="24"/>
          <w:lang w:val="en-US"/>
        </w:rPr>
        <w:t>Mytilus</w:t>
      </w:r>
      <w:r>
        <w:rPr>
          <w:rFonts w:ascii="Times New Roman" w:hAnsi="Times New Roman" w:cs="Times New Roman"/>
          <w:color w:val="0070C0"/>
          <w:sz w:val="24"/>
          <w:szCs w:val="24"/>
          <w:lang w:val="en-US"/>
        </w:rPr>
        <w:t xml:space="preserve"> in addition to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 xml:space="preserve"> and has a broad range in the temperate seas of the Atlantic and Pacific Oceans in both hemispheres. In Europe, its range extends from the Mediterranean Sea to the subarctic and covers the temperature ranges of three host species (Hammel et al. 2022; Skazina et al. 2023a; Skazina et al. 2023b). The geographically disjunct distributions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BTN2 are explained through anthropogenic introductions, together with diseased mussels in the fouling of ship hulls (</w:t>
      </w:r>
      <w:r>
        <w:rPr>
          <w:rFonts w:ascii="Times New Roman" w:hAnsi="Times New Roman" w:cs="Times New Roman"/>
          <w:color w:val="FF0000"/>
          <w:sz w:val="24"/>
          <w:szCs w:val="24"/>
          <w:lang w:val="en-US"/>
        </w:rPr>
        <w:t>Yonemitsu et al. 2019</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Skazina et al. 2023b</w:t>
      </w:r>
      <w:r>
        <w:rPr>
          <w:rFonts w:ascii="Times New Roman" w:hAnsi="Times New Roman" w:cs="Times New Roman"/>
          <w:color w:val="0070C0"/>
          <w:sz w:val="24"/>
          <w:szCs w:val="24"/>
          <w:lang w:val="en-US"/>
        </w:rPr>
        <w:t xml:space="preserve">). </w:t>
      </w:r>
      <w:commentRangeStart w:id="4"/>
      <w:r>
        <w:rPr>
          <w:rFonts w:ascii="Times New Roman" w:hAnsi="Times New Roman" w:cs="Times New Roman"/>
          <w:color w:val="0070C0"/>
          <w:sz w:val="24"/>
          <w:szCs w:val="24"/>
          <w:lang w:val="en-US"/>
        </w:rPr>
        <w:t xml:space="preserve">To sum up, according to available data, the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is more eurybiontic than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both in respect to host genotypes and abiotic environment. </w:t>
      </w:r>
      <w:commentRangeEnd w:id="4"/>
      <w:r>
        <w:commentReference w:id="4"/>
      </w:r>
    </w:p>
    <w:p w14:paraId="406B9BF7">
      <w:pPr>
        <w:rPr>
          <w:rFonts w:ascii="Times New Roman" w:hAnsi="Times New Roman" w:cs="Times New Roman"/>
          <w:sz w:val="24"/>
          <w:szCs w:val="24"/>
          <w:highlight w:val="yellow"/>
          <w:lang w:val="en-US"/>
        </w:rPr>
      </w:pPr>
      <w:r>
        <w:rPr>
          <w:rFonts w:ascii="Times New Roman" w:hAnsi="Times New Roman" w:cs="Times New Roman"/>
          <w:color w:val="0070C0"/>
          <w:sz w:val="24"/>
          <w:szCs w:val="24"/>
          <w:lang w:val="en-US"/>
        </w:rPr>
        <w:t xml:space="preserve">While nothing is known about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beyond its geographic distribution, progress has been made in understanding the ecology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due to studies of </w:t>
      </w:r>
      <w:r>
        <w:rPr>
          <w:rFonts w:ascii="Times New Roman" w:hAnsi="Times New Roman" w:cs="Times New Roman"/>
          <w:color w:val="FF0000"/>
          <w:sz w:val="24"/>
          <w:szCs w:val="24"/>
          <w:lang w:val="en-US"/>
        </w:rPr>
        <w:t xml:space="preserve">Bouroli et al. 2021 </w:t>
      </w:r>
      <w:r>
        <w:rPr>
          <w:rFonts w:ascii="Times New Roman" w:hAnsi="Times New Roman" w:cs="Times New Roman"/>
          <w:color w:val="0070C0"/>
          <w:sz w:val="24"/>
          <w:szCs w:val="24"/>
          <w:lang w:val="en-US"/>
        </w:rPr>
        <w:t xml:space="preserve">and </w:t>
      </w:r>
      <w:r>
        <w:rPr>
          <w:rFonts w:ascii="Times New Roman" w:hAnsi="Times New Roman" w:cs="Times New Roman"/>
          <w:color w:val="FF0000"/>
          <w:sz w:val="24"/>
          <w:szCs w:val="24"/>
          <w:lang w:val="en-US"/>
        </w:rPr>
        <w:t>Hammel et al. 2024.</w:t>
      </w:r>
      <w:r>
        <w:rPr>
          <w:rFonts w:ascii="Times New Roman" w:hAnsi="Times New Roman" w:cs="Times New Roman"/>
          <w:color w:val="0070C0"/>
          <w:sz w:val="24"/>
          <w:szCs w:val="24"/>
          <w:lang w:val="en-US"/>
        </w:rPr>
        <w:t xml:space="preserve"> Both studies were conducted on the Atlantic coast of France, where the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 xml:space="preserve">-derived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parasitizes </w:t>
      </w:r>
      <w:r>
        <w:rPr>
          <w:rFonts w:ascii="Times New Roman" w:hAnsi="Times New Roman" w:cs="Times New Roman"/>
          <w:i/>
          <w:color w:val="0070C0"/>
          <w:sz w:val="24"/>
          <w:szCs w:val="24"/>
          <w:lang w:val="en-US"/>
        </w:rPr>
        <w:t>M. edulis</w:t>
      </w:r>
      <w:r>
        <w:rPr>
          <w:rFonts w:ascii="Times New Roman" w:hAnsi="Times New Roman" w:cs="Times New Roman"/>
          <w:color w:val="0070C0"/>
          <w:sz w:val="24"/>
          <w:szCs w:val="24"/>
          <w:lang w:val="en-US"/>
        </w:rPr>
        <w:t xml:space="preserve"> and </w:t>
      </w:r>
      <w:r>
        <w:rPr>
          <w:rFonts w:ascii="Times New Roman" w:hAnsi="Times New Roman" w:cs="Times New Roman"/>
          <w:i/>
          <w:color w:val="0070C0"/>
          <w:sz w:val="24"/>
          <w:szCs w:val="24"/>
          <w:lang w:val="en-US"/>
        </w:rPr>
        <w:t>M. galloprovincialis</w:t>
      </w:r>
      <w:r>
        <w:rPr>
          <w:rFonts w:ascii="Times New Roman" w:hAnsi="Times New Roman" w:cs="Times New Roman"/>
          <w:color w:val="0070C0"/>
          <w:sz w:val="24"/>
          <w:szCs w:val="24"/>
          <w:lang w:val="en-US"/>
        </w:rPr>
        <w:t xml:space="preserve"> and exhibits a low overall prevalence of about five cancerous mussels per </w:t>
      </w:r>
      <w:commentRangeStart w:id="5"/>
      <w:r>
        <w:rPr>
          <w:rFonts w:ascii="Times New Roman" w:hAnsi="Times New Roman" w:cs="Times New Roman"/>
          <w:color w:val="0070C0"/>
          <w:sz w:val="24"/>
          <w:szCs w:val="24"/>
          <w:lang w:val="en-US"/>
        </w:rPr>
        <w:t xml:space="preserve">thousand </w:t>
      </w:r>
      <w:commentRangeEnd w:id="5"/>
      <w:r>
        <w:commentReference w:id="5"/>
      </w:r>
      <w:r>
        <w:rPr>
          <w:rFonts w:ascii="Times New Roman" w:hAnsi="Times New Roman" w:cs="Times New Roman"/>
          <w:color w:val="0070C0"/>
          <w:sz w:val="24"/>
          <w:szCs w:val="24"/>
          <w:lang w:val="en-US"/>
        </w:rPr>
        <w:t>(</w:t>
      </w:r>
      <w:r>
        <w:rPr>
          <w:rFonts w:ascii="Times New Roman" w:hAnsi="Times New Roman" w:cs="Times New Roman"/>
          <w:color w:val="FF0000"/>
          <w:sz w:val="24"/>
          <w:szCs w:val="24"/>
          <w:lang w:val="en-US"/>
        </w:rPr>
        <w:t>Hammel et al. 2022</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Hammel et al.</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2024</w:t>
      </w:r>
      <w:r>
        <w:rPr>
          <w:rFonts w:ascii="Times New Roman" w:hAnsi="Times New Roman" w:cs="Times New Roman"/>
          <w:color w:val="0070C0"/>
          <w:sz w:val="24"/>
          <w:szCs w:val="24"/>
          <w:lang w:val="en-US"/>
        </w:rPr>
        <w:t xml:space="preserve">) studied the spatial ecological patterns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prevalence, taking into account mussel density, species identity, and a set of environmental predictors, including surf </w:t>
      </w:r>
      <w:r>
        <w:rPr>
          <w:rFonts w:ascii="Times New Roman" w:hAnsi="Times New Roman" w:cs="Times New Roman"/>
          <w:color w:val="0070C0"/>
          <w:sz w:val="24"/>
          <w:szCs w:val="24"/>
          <w:highlight w:val="yellow"/>
          <w:lang w:val="en-US"/>
        </w:rPr>
        <w:t>intensity</w:t>
      </w:r>
      <w:r>
        <w:rPr>
          <w:rFonts w:ascii="Times New Roman" w:hAnsi="Times New Roman" w:cs="Times New Roman"/>
          <w:color w:val="0070C0"/>
          <w:sz w:val="24"/>
          <w:szCs w:val="24"/>
          <w:lang w:val="en-US"/>
        </w:rPr>
        <w:t xml:space="preserve"> and proximity to ports. They found similar cancer prevalence in both species, and a higher prevalence in ports. </w:t>
      </w:r>
      <w:r>
        <w:rPr>
          <w:rFonts w:ascii="Times New Roman" w:hAnsi="Times New Roman" w:cs="Times New Roman"/>
          <w:color w:val="0070C0"/>
          <w:sz w:val="24"/>
          <w:szCs w:val="24"/>
          <w:highlight w:val="yellow"/>
          <w:lang w:val="en-US"/>
        </w:rPr>
        <w:t>The latter result can be explained both by ports serving as epidemiological hubs through the transport of affected mussels in the fouling of ships' hulls, and by the conditions within ports, including increased mussel density, reduced surf intensity and high levels of anthropogenic pollution (</w:t>
      </w:r>
      <w:r>
        <w:rPr>
          <w:rFonts w:ascii="Times New Roman" w:hAnsi="Times New Roman" w:cs="Times New Roman"/>
          <w:color w:val="FF0000"/>
          <w:sz w:val="24"/>
          <w:szCs w:val="24"/>
          <w:highlight w:val="yellow"/>
          <w:lang w:val="en-US"/>
        </w:rPr>
        <w:t>Hammel et al. 2024</w:t>
      </w:r>
      <w:r>
        <w:rPr>
          <w:rFonts w:ascii="Times New Roman" w:hAnsi="Times New Roman" w:cs="Times New Roman"/>
          <w:color w:val="0070C0"/>
          <w:sz w:val="24"/>
          <w:szCs w:val="24"/>
          <w:highlight w:val="yellow"/>
          <w:lang w:val="en-US"/>
        </w:rPr>
        <w:t>).</w:t>
      </w:r>
      <w:r>
        <w:rPr>
          <w:rFonts w:ascii="Times New Roman" w:hAnsi="Times New Roman" w:cs="Times New Roman"/>
          <w:color w:val="0070C0"/>
          <w:sz w:val="24"/>
          <w:szCs w:val="24"/>
          <w:lang w:val="en-US"/>
        </w:rPr>
        <w:t xml:space="preserve"> </w:t>
      </w:r>
      <w:commentRangeStart w:id="6"/>
      <w:r>
        <w:rPr>
          <w:rFonts w:ascii="Times New Roman" w:hAnsi="Times New Roman" w:cs="Times New Roman"/>
          <w:color w:val="0070C0"/>
          <w:sz w:val="24"/>
          <w:szCs w:val="24"/>
          <w:lang w:val="en-US"/>
        </w:rPr>
        <w:t>Of</w:t>
      </w:r>
      <w:commentRangeEnd w:id="6"/>
      <w:r>
        <w:rPr>
          <w:rStyle w:val="17"/>
          <w:rFonts w:ascii="Times New Roman" w:hAnsi="Times New Roman" w:cs="Times New Roman"/>
          <w:sz w:val="24"/>
          <w:szCs w:val="24"/>
        </w:rPr>
        <w:commentReference w:id="6"/>
      </w:r>
      <w:r>
        <w:rPr>
          <w:rFonts w:ascii="Times New Roman" w:hAnsi="Times New Roman" w:cs="Times New Roman"/>
          <w:color w:val="0070C0"/>
          <w:sz w:val="24"/>
          <w:szCs w:val="24"/>
          <w:lang w:val="en-US"/>
        </w:rPr>
        <w:t xml:space="preserve"> note, the idea of increased DN prevalence in anthropogenically polluted habitats was considered in old studies of the disease predating the BTN discovery and assuming that it is directly provoked by carcinogens. No convincing evidence was obtained however (</w:t>
      </w:r>
      <w:r>
        <w:rPr>
          <w:rFonts w:ascii="Times New Roman" w:hAnsi="Times New Roman" w:cs="Times New Roman"/>
          <w:color w:val="FF0000"/>
          <w:sz w:val="24"/>
          <w:szCs w:val="24"/>
          <w:lang w:val="en-US"/>
        </w:rPr>
        <w:t>Barber 2004</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 xml:space="preserve">Carballal et al. </w:t>
      </w:r>
      <w:commentRangeStart w:id="7"/>
      <w:r>
        <w:rPr>
          <w:rFonts w:ascii="Times New Roman" w:hAnsi="Times New Roman" w:cs="Times New Roman"/>
          <w:color w:val="FF0000"/>
          <w:sz w:val="24"/>
          <w:szCs w:val="24"/>
          <w:lang w:val="en-US"/>
        </w:rPr>
        <w:t>2016</w:t>
      </w:r>
      <w:commentRangeEnd w:id="7"/>
      <w:r>
        <w:rPr>
          <w:rStyle w:val="17"/>
        </w:rPr>
        <w:commentReference w:id="7"/>
      </w:r>
      <w:r>
        <w:rPr>
          <w:rFonts w:ascii="Times New Roman" w:hAnsi="Times New Roman" w:cs="Times New Roman"/>
          <w:color w:val="0070C0"/>
          <w:sz w:val="24"/>
          <w:szCs w:val="24"/>
          <w:lang w:val="en-US"/>
        </w:rPr>
        <w:t>).</w:t>
      </w:r>
      <w:r>
        <w:rPr>
          <w:rFonts w:ascii="Times New Roman" w:hAnsi="Times New Roman" w:cs="Times New Roman"/>
          <w:sz w:val="24"/>
          <w:szCs w:val="24"/>
          <w:highlight w:val="yellow"/>
          <w:lang w:val="en-US"/>
        </w:rPr>
        <w:t xml:space="preserve">  </w:t>
      </w:r>
    </w:p>
    <w:p w14:paraId="1A6BDA3F">
      <w:pPr>
        <w:rPr>
          <w:rFonts w:ascii="Times New Roman" w:hAnsi="Times New Roman" w:cs="Times New Roman"/>
          <w:sz w:val="24"/>
          <w:szCs w:val="24"/>
          <w:lang w:val="en-US"/>
        </w:rPr>
      </w:pPr>
      <w:r>
        <w:rPr>
          <w:rFonts w:ascii="Times New Roman" w:hAnsi="Times New Roman" w:cs="Times New Roman"/>
          <w:sz w:val="24"/>
          <w:szCs w:val="24"/>
          <w:highlight w:val="yellow"/>
        </w:rPr>
        <w:t>Что</w:t>
      </w:r>
      <w:r>
        <w:rPr>
          <w:rFonts w:ascii="Times New Roman" w:hAnsi="Times New Roman" w:cs="Times New Roman"/>
          <w:sz w:val="24"/>
          <w:szCs w:val="24"/>
          <w:highlight w:val="yellow"/>
          <w:lang w:val="en-US"/>
        </w:rPr>
        <w:t xml:space="preserve"> recent review of Bramwell?</w:t>
      </w:r>
      <w:r>
        <w:rPr>
          <w:rFonts w:ascii="Times New Roman" w:hAnsi="Times New Roman" w:cs="Times New Roman"/>
          <w:sz w:val="24"/>
          <w:szCs w:val="24"/>
          <w:lang w:val="en-US"/>
        </w:rPr>
        <w:t xml:space="preserve"> </w:t>
      </w:r>
    </w:p>
    <w:p w14:paraId="19ED6418">
      <w:pPr>
        <w:rPr>
          <w:rFonts w:ascii="Times New Roman" w:hAnsi="Times New Roman" w:cs="Times New Roman"/>
          <w:color w:val="0070C0"/>
          <w:sz w:val="24"/>
          <w:szCs w:val="24"/>
          <w:lang w:val="en-US"/>
        </w:rPr>
      </w:pPr>
      <w:r>
        <w:rPr>
          <w:rFonts w:ascii="Times New Roman" w:hAnsi="Times New Roman" w:cs="Times New Roman"/>
          <w:bCs/>
          <w:color w:val="0070C0"/>
          <w:sz w:val="24"/>
          <w:szCs w:val="24"/>
          <w:shd w:val="clear" w:color="auto" w:fill="FFFCF0"/>
          <w:lang w:val="en-US"/>
        </w:rPr>
        <w:t xml:space="preserve">Using histological data on control healthy and 16 </w:t>
      </w:r>
      <w:r>
        <w:rPr>
          <w:rFonts w:ascii="Times New Roman" w:hAnsi="Times New Roman" w:cs="Times New Roman"/>
          <w:bCs/>
          <w:i/>
          <w:color w:val="0070C0"/>
          <w:sz w:val="24"/>
          <w:szCs w:val="24"/>
          <w:shd w:val="clear" w:color="auto" w:fill="FFFCF0"/>
          <w:lang w:val="en-US"/>
        </w:rPr>
        <w:t>Mtr</w:t>
      </w:r>
      <w:r>
        <w:rPr>
          <w:rFonts w:ascii="Times New Roman" w:hAnsi="Times New Roman" w:cs="Times New Roman"/>
          <w:bCs/>
          <w:color w:val="0070C0"/>
          <w:sz w:val="24"/>
          <w:szCs w:val="24"/>
          <w:shd w:val="clear" w:color="auto" w:fill="FFFCF0"/>
          <w:lang w:val="en-US"/>
        </w:rPr>
        <w:t xml:space="preserve">BTN2-infected </w:t>
      </w:r>
      <w:r>
        <w:rPr>
          <w:rFonts w:ascii="Times New Roman" w:hAnsi="Times New Roman" w:cs="Times New Roman"/>
          <w:bCs/>
          <w:i/>
          <w:color w:val="0070C0"/>
          <w:sz w:val="24"/>
          <w:szCs w:val="24"/>
          <w:shd w:val="clear" w:color="auto" w:fill="FFFCF0"/>
          <w:lang w:val="en-US"/>
        </w:rPr>
        <w:t>M. edulis</w:t>
      </w:r>
      <w:r>
        <w:rPr>
          <w:rFonts w:ascii="Times New Roman" w:hAnsi="Times New Roman" w:cs="Times New Roman"/>
          <w:bCs/>
          <w:color w:val="0070C0"/>
          <w:sz w:val="24"/>
          <w:szCs w:val="24"/>
          <w:shd w:val="clear" w:color="auto" w:fill="FFFCF0"/>
          <w:lang w:val="en-US"/>
        </w:rPr>
        <w:t xml:space="preserve"> sampled through different seasons, </w:t>
      </w:r>
      <w:r>
        <w:rPr>
          <w:rFonts w:ascii="Times New Roman" w:hAnsi="Times New Roman" w:cs="Times New Roman"/>
          <w:color w:val="FF0000"/>
          <w:sz w:val="24"/>
          <w:szCs w:val="24"/>
          <w:lang w:val="en-US"/>
        </w:rPr>
        <w:t xml:space="preserve">Burioli et al. (2021) </w:t>
      </w:r>
      <w:r>
        <w:rPr>
          <w:rFonts w:ascii="Times New Roman" w:hAnsi="Times New Roman" w:cs="Times New Roman"/>
          <w:color w:val="0070C0"/>
          <w:sz w:val="24"/>
          <w:szCs w:val="24"/>
          <w:lang w:val="en-US"/>
        </w:rPr>
        <w:t xml:space="preserve">demonstrated </w:t>
      </w:r>
      <w:r>
        <w:rPr>
          <w:rFonts w:ascii="Times New Roman" w:hAnsi="Times New Roman" w:cs="Times New Roman"/>
          <w:color w:val="0070C0"/>
          <w:sz w:val="24"/>
          <w:szCs w:val="24"/>
          <w:highlight w:val="yellow"/>
          <w:lang w:val="en-US"/>
        </w:rPr>
        <w:t>lack of ripe gametes</w:t>
      </w:r>
      <w:r>
        <w:rPr>
          <w:rFonts w:ascii="Times New Roman" w:hAnsi="Times New Roman" w:cs="Times New Roman"/>
          <w:color w:val="0070C0"/>
          <w:sz w:val="24"/>
          <w:szCs w:val="24"/>
          <w:lang w:val="en-US"/>
        </w:rPr>
        <w:t xml:space="preserve"> in most cancerous mussels </w:t>
      </w:r>
      <w:r>
        <w:rPr>
          <w:rFonts w:ascii="Times New Roman" w:hAnsi="Times New Roman" w:cs="Times New Roman"/>
          <w:bCs/>
          <w:color w:val="0070C0"/>
          <w:sz w:val="24"/>
          <w:szCs w:val="24"/>
          <w:shd w:val="clear" w:color="auto" w:fill="FFFCF0"/>
          <w:lang w:val="en-US"/>
        </w:rPr>
        <w:t xml:space="preserve">and suggested that </w:t>
      </w:r>
      <w:r>
        <w:rPr>
          <w:rFonts w:ascii="Times New Roman" w:hAnsi="Times New Roman" w:cs="Times New Roman"/>
          <w:bCs/>
          <w:i/>
          <w:color w:val="0070C0"/>
          <w:sz w:val="24"/>
          <w:szCs w:val="24"/>
          <w:shd w:val="clear" w:color="auto" w:fill="FFFCF0"/>
          <w:lang w:val="en-US"/>
        </w:rPr>
        <w:t>Mtr</w:t>
      </w:r>
      <w:r>
        <w:rPr>
          <w:rFonts w:ascii="Times New Roman" w:hAnsi="Times New Roman" w:cs="Times New Roman"/>
          <w:bCs/>
          <w:color w:val="0070C0"/>
          <w:sz w:val="24"/>
          <w:szCs w:val="24"/>
          <w:shd w:val="clear" w:color="auto" w:fill="FFFCF0"/>
          <w:lang w:val="en-US"/>
        </w:rPr>
        <w:t xml:space="preserve">BTN2 inhibit hosts gametogenesis </w:t>
      </w:r>
      <w:r>
        <w:rPr>
          <w:rFonts w:ascii="Times New Roman" w:hAnsi="Times New Roman" w:cs="Times New Roman"/>
          <w:bCs/>
          <w:color w:val="0070C0"/>
          <w:sz w:val="24"/>
          <w:szCs w:val="24"/>
          <w:highlight w:val="yellow"/>
          <w:shd w:val="clear" w:color="auto" w:fill="FFFCF0"/>
          <w:lang w:val="en-US"/>
        </w:rPr>
        <w:t>since early stages of disease</w:t>
      </w:r>
      <w:r>
        <w:rPr>
          <w:rFonts w:ascii="Times New Roman" w:hAnsi="Times New Roman" w:cs="Times New Roman"/>
          <w:bCs/>
          <w:color w:val="0070C0"/>
          <w:sz w:val="24"/>
          <w:szCs w:val="24"/>
          <w:shd w:val="clear" w:color="auto" w:fill="FFFCF0"/>
          <w:lang w:val="en-US"/>
        </w:rPr>
        <w:t xml:space="preserve">. They hypothesize that </w:t>
      </w:r>
      <w:r>
        <w:rPr>
          <w:rFonts w:ascii="Times New Roman" w:hAnsi="Times New Roman" w:cs="Times New Roman"/>
          <w:bCs/>
          <w:i/>
          <w:color w:val="0070C0"/>
          <w:sz w:val="24"/>
          <w:szCs w:val="24"/>
          <w:shd w:val="clear" w:color="auto" w:fill="FFFCF0"/>
          <w:lang w:val="en-US"/>
        </w:rPr>
        <w:t>Mtr</w:t>
      </w:r>
      <w:r>
        <w:rPr>
          <w:rFonts w:ascii="Times New Roman" w:hAnsi="Times New Roman" w:cs="Times New Roman"/>
          <w:bCs/>
          <w:color w:val="0070C0"/>
          <w:sz w:val="24"/>
          <w:szCs w:val="24"/>
          <w:shd w:val="clear" w:color="auto" w:fill="FFFCF0"/>
          <w:lang w:val="en-US"/>
        </w:rPr>
        <w:t xml:space="preserve">BTN2 follows a parasitic castration strategy, that is, a strategy that requires the eventual intensity-independent elimination of host reproduction as the primary means of acquiring energy for parasite (Lafferty, Kuris 2002). Given the limited material in </w:t>
      </w:r>
      <w:r>
        <w:rPr>
          <w:rFonts w:ascii="Times New Roman" w:hAnsi="Times New Roman" w:cs="Times New Roman"/>
          <w:bCs/>
          <w:color w:val="FF0000"/>
          <w:sz w:val="24"/>
          <w:szCs w:val="24"/>
          <w:shd w:val="clear" w:color="auto" w:fill="FFFCF0"/>
          <w:lang w:val="en-US"/>
        </w:rPr>
        <w:t xml:space="preserve">Burioli et al. (2021) </w:t>
      </w:r>
      <w:r>
        <w:rPr>
          <w:rFonts w:ascii="Times New Roman" w:hAnsi="Times New Roman" w:cs="Times New Roman"/>
          <w:bCs/>
          <w:color w:val="0070C0"/>
          <w:sz w:val="24"/>
          <w:szCs w:val="24"/>
          <w:shd w:val="clear" w:color="auto" w:fill="FFFCF0"/>
          <w:lang w:val="en-US"/>
        </w:rPr>
        <w:t xml:space="preserve">study, their inspiring hypothesis cannot be considered definitively proven. </w:t>
      </w:r>
      <w:r>
        <w:rPr>
          <w:rFonts w:ascii="Times New Roman" w:hAnsi="Times New Roman" w:cs="Times New Roman"/>
          <w:color w:val="0070C0"/>
          <w:sz w:val="24"/>
          <w:szCs w:val="24"/>
          <w:lang w:val="en-US"/>
        </w:rPr>
        <w:t>As the disease progresses, BTN colonizes all organs and tissues of the mussel, including the gonads (</w:t>
      </w:r>
      <w:r>
        <w:rPr>
          <w:rFonts w:ascii="Times New Roman" w:hAnsi="Times New Roman" w:cs="Times New Roman"/>
          <w:color w:val="FF0000"/>
          <w:sz w:val="24"/>
          <w:szCs w:val="24"/>
          <w:lang w:val="en-US"/>
        </w:rPr>
        <w:t>Carballal et al. 2016; Odintsova 2020</w:t>
      </w:r>
      <w:r>
        <w:rPr>
          <w:rFonts w:ascii="Times New Roman" w:hAnsi="Times New Roman" w:cs="Times New Roman"/>
          <w:color w:val="0070C0"/>
          <w:sz w:val="24"/>
          <w:szCs w:val="24"/>
          <w:lang w:val="en-US"/>
        </w:rPr>
        <w:t>), and inevitably negatively affects the mussel's health. It is unclear whether the "castration" in this case is an adaptive strategy of the parasite, rather than a secondary outcome of infection with no adaptive value.</w:t>
      </w:r>
    </w:p>
    <w:p w14:paraId="16206899">
      <w:pPr>
        <w:rPr>
          <w:rFonts w:ascii="Times New Roman" w:hAnsi="Times New Roman" w:cs="Times New Roman"/>
          <w:i/>
          <w:color w:val="0070C0"/>
          <w:sz w:val="24"/>
          <w:szCs w:val="24"/>
          <w:lang w:val="en-US"/>
        </w:rPr>
      </w:pPr>
      <w:r>
        <w:rPr>
          <w:rFonts w:ascii="Times New Roman" w:hAnsi="Times New Roman" w:cs="Times New Roman"/>
          <w:color w:val="0070C0"/>
          <w:sz w:val="24"/>
          <w:szCs w:val="24"/>
          <w:lang w:val="en-US"/>
        </w:rPr>
        <w:t xml:space="preserve">Recently, the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were found in sympatry in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 xml:space="preserve"> in Taui Bay of the Sea of Okhotsk, with cumulative prevalence of about 5% (</w:t>
      </w:r>
      <w:r>
        <w:rPr>
          <w:rFonts w:ascii="Times New Roman" w:hAnsi="Times New Roman" w:cs="Times New Roman"/>
          <w:color w:val="FF0000"/>
          <w:sz w:val="24"/>
          <w:szCs w:val="24"/>
          <w:lang w:val="en-US"/>
        </w:rPr>
        <w:t>Skazina et al. 2023a</w:t>
      </w:r>
      <w:r>
        <w:rPr>
          <w:rFonts w:ascii="Times New Roman" w:hAnsi="Times New Roman" w:cs="Times New Roman"/>
          <w:color w:val="0070C0"/>
          <w:sz w:val="24"/>
          <w:szCs w:val="24"/>
          <w:lang w:val="en-US"/>
        </w:rPr>
        <w:t>).</w:t>
      </w:r>
      <w:r>
        <w:rPr>
          <w:rFonts w:ascii="Times New Roman" w:hAnsi="Times New Roman" w:cs="Times New Roman"/>
          <w:i/>
          <w:color w:val="0070C0"/>
          <w:sz w:val="24"/>
          <w:szCs w:val="24"/>
          <w:lang w:val="en-US"/>
        </w:rPr>
        <w:t xml:space="preserve"> </w:t>
      </w:r>
      <w:r>
        <w:rPr>
          <w:rFonts w:ascii="Times New Roman" w:hAnsi="Times New Roman" w:cs="Times New Roman"/>
          <w:color w:val="0070C0"/>
          <w:sz w:val="24"/>
          <w:szCs w:val="24"/>
          <w:lang w:val="en-US"/>
        </w:rPr>
        <w:t xml:space="preserve">Here we use this model, the co-infected Taui Bay mussel populations, for a comparative ecological study of the two lineages. Our questions are as follows. What are the patterns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prevalence between mussel populations with different demographics and from different habitats? How these lineages affect mussel's reproduction and growth? By conducting our research, we, firstly, continue the studies of MtrBTN2 initiated by </w:t>
      </w:r>
      <w:r>
        <w:rPr>
          <w:rFonts w:ascii="Times New Roman" w:hAnsi="Times New Roman" w:cs="Times New Roman"/>
          <w:color w:val="FF0000"/>
          <w:sz w:val="24"/>
          <w:szCs w:val="24"/>
          <w:lang w:val="en-US"/>
        </w:rPr>
        <w:t xml:space="preserve">Hammel et al. (2024) </w:t>
      </w:r>
      <w:r>
        <w:rPr>
          <w:rFonts w:ascii="Times New Roman" w:hAnsi="Times New Roman" w:cs="Times New Roman"/>
          <w:color w:val="0070C0"/>
          <w:sz w:val="24"/>
          <w:szCs w:val="24"/>
          <w:lang w:val="en-US"/>
        </w:rPr>
        <w:t xml:space="preserve">and </w:t>
      </w:r>
      <w:r>
        <w:rPr>
          <w:rFonts w:ascii="Times New Roman" w:hAnsi="Times New Roman" w:cs="Times New Roman"/>
          <w:color w:val="FF0000"/>
          <w:sz w:val="24"/>
          <w:szCs w:val="24"/>
          <w:lang w:val="en-US"/>
        </w:rPr>
        <w:t>Burioli et al. (2021)</w:t>
      </w:r>
      <w:r>
        <w:rPr>
          <w:rFonts w:ascii="Times New Roman" w:hAnsi="Times New Roman" w:cs="Times New Roman"/>
          <w:color w:val="0070C0"/>
          <w:sz w:val="24"/>
          <w:szCs w:val="24"/>
          <w:lang w:val="en-US"/>
        </w:rPr>
        <w:t xml:space="preserve"> in Europe and verify their results in the other ocean on populations of another host species—specifically, the parental species for this cancer. Secondly, we conduct an ecological study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for the first time. Finally, we check the hypothesis of individuality of the two lineages. If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are indeed different parasitic species, then they should respond differently to local environmental gradients and exert different effects on their hosts. Or perhaps theoretical expectations regarding the essence of transmissible cancers as species, as applied to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BTN, are exaggerated, and, being recently feral clones of the same cancer, the disseminated neoplasia, without long history of co-evolution with a host and competition with each other, they are indistinguishable ecologically?</w:t>
      </w:r>
      <w:r>
        <w:rPr>
          <w:rFonts w:ascii="Times New Roman" w:hAnsi="Times New Roman" w:cs="Times New Roman"/>
          <w:i/>
          <w:color w:val="0070C0"/>
          <w:sz w:val="24"/>
          <w:szCs w:val="24"/>
          <w:lang w:val="en-US"/>
        </w:rPr>
        <w:t xml:space="preserve"> </w:t>
      </w:r>
    </w:p>
    <w:p w14:paraId="4AD83492"/>
    <w:p w14:paraId="79C183AC">
      <w:pPr>
        <w:rPr>
          <w:lang w:val="en-US"/>
        </w:rPr>
      </w:pPr>
    </w:p>
    <w:p w14:paraId="052F569E">
      <w:pPr>
        <w:rPr>
          <w:lang w:val="en-US"/>
        </w:rPr>
      </w:pPr>
    </w:p>
    <w:p w14:paraId="7C93BDED">
      <w:pPr>
        <w:rPr>
          <w:lang w:val="en-US"/>
        </w:rPr>
      </w:pPr>
    </w:p>
    <w:p w14:paraId="27A6AC63">
      <w:pPr>
        <w:rPr>
          <w:lang w:val="en-US"/>
        </w:rPr>
      </w:pPr>
      <w:r>
        <w:rPr>
          <w:lang w:val="en-US"/>
        </w:rPr>
        <w:br w:type="page"/>
      </w:r>
    </w:p>
    <w:p w14:paraId="6C69B9FD">
      <w:pPr>
        <w:rPr>
          <w:rFonts w:hint="default"/>
        </w:rPr>
      </w:pPr>
      <w:r>
        <w:rPr>
          <w:rFonts w:hint="default"/>
        </w:rPr>
        <w:t>**Site Characteri</w:t>
      </w:r>
      <w:r>
        <w:rPr>
          <w:rFonts w:hint="default"/>
          <w:lang w:val="en-US"/>
        </w:rPr>
        <w:t>stics</w:t>
      </w:r>
      <w:r>
        <w:rPr>
          <w:rFonts w:hint="default"/>
        </w:rPr>
        <w:t>**</w:t>
      </w:r>
    </w:p>
    <w:p w14:paraId="5038B523">
      <w:pPr>
        <w:rPr>
          <w:rFonts w:hint="default"/>
        </w:rPr>
      </w:pPr>
    </w:p>
    <w:p w14:paraId="1D43E320">
      <w:pPr>
        <w:rPr>
          <w:rFonts w:hint="default"/>
        </w:rPr>
      </w:pPr>
      <w:r>
        <w:rPr>
          <w:rFonts w:hint="default"/>
        </w:rPr>
        <w:t xml:space="preserve">The material was collected from the intertidal zone within Tauiskaya Bay, Sea of Okhotsk, in June 2021 and 2023. Among the </w:t>
      </w:r>
      <w:r>
        <w:rPr>
          <w:rFonts w:hint="default"/>
          <w:lang w:val="en-US"/>
        </w:rPr>
        <w:t>18</w:t>
      </w:r>
      <w:r>
        <w:rPr>
          <w:rFonts w:hint="default"/>
        </w:rPr>
        <w:t xml:space="preserve"> surveyed sites, </w:t>
      </w:r>
      <w:r>
        <w:rPr>
          <w:rFonts w:hint="default"/>
          <w:lang w:val="en-US"/>
        </w:rPr>
        <w:t>6</w:t>
      </w:r>
      <w:r>
        <w:rPr>
          <w:rFonts w:hint="default"/>
        </w:rPr>
        <w:t xml:space="preserve"> were described twice. In most cases, </w:t>
      </w:r>
      <w:r>
        <w:rPr>
          <w:rFonts w:hint="default"/>
          <w:lang w:val="en-US"/>
        </w:rPr>
        <w:t>mussel populations</w:t>
      </w:r>
      <w:r>
        <w:rPr>
          <w:rFonts w:hint="default"/>
        </w:rPr>
        <w:t xml:space="preserve"> consisted of mollusk patches of varying sizes attached to rock surfaces. Such patches were found both on exposed surfaces of rocks</w:t>
      </w:r>
      <w:r>
        <w:rPr>
          <w:rFonts w:hint="default"/>
          <w:lang w:val="en-US"/>
        </w:rPr>
        <w:t xml:space="preserve">, </w:t>
      </w:r>
      <w:r>
        <w:rPr>
          <w:rFonts w:hint="default"/>
        </w:rPr>
        <w:t>boulders</w:t>
      </w:r>
      <w:r>
        <w:rPr>
          <w:rFonts w:hint="default"/>
          <w:lang w:val="en-US"/>
        </w:rPr>
        <w:t xml:space="preserve"> and stones</w:t>
      </w:r>
      <w:r>
        <w:rPr>
          <w:rFonts w:hint="default"/>
        </w:rPr>
        <w:t xml:space="preserve"> and in the spaces between them. In some </w:t>
      </w:r>
      <w:r>
        <w:rPr>
          <w:rFonts w:hint="default"/>
          <w:lang w:val="en-US"/>
        </w:rPr>
        <w:t>cases</w:t>
      </w:r>
      <w:r>
        <w:rPr>
          <w:rFonts w:hint="default"/>
        </w:rPr>
        <w:t xml:space="preserve">, settlements were found exclusively between </w:t>
      </w:r>
      <w:r>
        <w:rPr>
          <w:rFonts w:hint="default"/>
          <w:lang w:val="en-US"/>
        </w:rPr>
        <w:t>stones</w:t>
      </w:r>
      <w:r>
        <w:rPr>
          <w:rFonts w:hint="default"/>
        </w:rPr>
        <w:t xml:space="preserve">, the surfaces of which remained uncolonized. In </w:t>
      </w:r>
      <w:r>
        <w:rPr>
          <w:rFonts w:hint="default"/>
          <w:lang w:val="en-US"/>
        </w:rPr>
        <w:t xml:space="preserve">a few </w:t>
      </w:r>
      <w:r>
        <w:rPr>
          <w:rFonts w:hint="default"/>
        </w:rPr>
        <w:t>cases (Ola, Arm</w:t>
      </w:r>
      <w:r>
        <w:rPr>
          <w:rFonts w:hint="default"/>
          <w:lang w:val="en-US"/>
        </w:rPr>
        <w:t>, Fig. ++</w:t>
      </w:r>
      <w:r>
        <w:rPr>
          <w:rFonts w:hint="default"/>
        </w:rPr>
        <w:t>), aggregations formed on the surface of muddy sediment, where m</w:t>
      </w:r>
      <w:r>
        <w:rPr>
          <w:rFonts w:hint="default"/>
          <w:lang w:val="en-US"/>
        </w:rPr>
        <w:t xml:space="preserve">ussels </w:t>
      </w:r>
      <w:r>
        <w:rPr>
          <w:rFonts w:hint="default"/>
        </w:rPr>
        <w:t>created a continuous mat by attaching to one another via byssal threads.</w:t>
      </w:r>
    </w:p>
    <w:p w14:paraId="21F91811">
      <w:pPr>
        <w:rPr>
          <w:rFonts w:hint="default"/>
        </w:rPr>
      </w:pPr>
    </w:p>
    <w:p w14:paraId="19A88EA3">
      <w:pPr>
        <w:rPr>
          <w:rFonts w:hint="default"/>
        </w:rPr>
      </w:pPr>
      <w:r>
        <w:rPr>
          <w:rFonts w:hint="default"/>
        </w:rPr>
        <w:t xml:space="preserve">Sites differed markedly in their degree of exposure to wave action. However, other hydrological conditions were broadly similar. Salinity in the area showed no </w:t>
      </w:r>
      <w:r>
        <w:rPr>
          <w:rFonts w:hint="default"/>
          <w:lang w:val="en-US"/>
        </w:rPr>
        <w:t xml:space="preserve">significant </w:t>
      </w:r>
      <w:r>
        <w:rPr>
          <w:rFonts w:hint="default"/>
        </w:rPr>
        <w:t>variation, ranging from 21.7 to 32 ppm. Only at the mouth of the Arman River</w:t>
      </w:r>
      <w:r>
        <w:rPr>
          <w:rFonts w:hint="default"/>
          <w:lang w:val="en-US"/>
        </w:rPr>
        <w:t xml:space="preserve"> (ARM)</w:t>
      </w:r>
      <w:r>
        <w:rPr>
          <w:rFonts w:hint="default"/>
        </w:rPr>
        <w:t xml:space="preserve"> and </w:t>
      </w:r>
      <w:r>
        <w:rPr>
          <w:rFonts w:hint="default"/>
          <w:lang w:val="en-US"/>
        </w:rPr>
        <w:t xml:space="preserve">Marchikan </w:t>
      </w:r>
      <w:r>
        <w:rPr>
          <w:rFonts w:hint="default"/>
        </w:rPr>
        <w:t>stream (MAR) salinity</w:t>
      </w:r>
      <w:r>
        <w:rPr>
          <w:rFonts w:hint="default"/>
          <w:lang w:val="en-US"/>
        </w:rPr>
        <w:t xml:space="preserve"> being</w:t>
      </w:r>
      <w:r>
        <w:rPr>
          <w:rFonts w:hint="default"/>
        </w:rPr>
        <w:t xml:space="preserve"> measured during low tide drop substantially (to 6.8 and 16.7 ppm, respectively).</w:t>
      </w:r>
    </w:p>
    <w:p w14:paraId="3B5BDB44">
      <w:pPr>
        <w:rPr>
          <w:rFonts w:hint="default"/>
        </w:rPr>
      </w:pPr>
    </w:p>
    <w:p w14:paraId="37EA3DB8">
      <w:pPr>
        <w:rPr>
          <w:rFonts w:hint="default"/>
        </w:rPr>
      </w:pPr>
      <w:r>
        <w:rPr>
          <w:rFonts w:hint="default"/>
        </w:rPr>
        <w:t>The only major human settlement along the surveyed coastline is the city of Magadan (approximately 90,000 inhabitants). Magadan’s residential districts extend to two bays – Nagaeva Bay to the west and Gertner Bay to the east</w:t>
      </w:r>
      <w:r>
        <w:rPr>
          <w:rFonts w:hint="default"/>
          <w:lang w:val="en-US"/>
        </w:rPr>
        <w:t xml:space="preserve"> (Fig. +++)</w:t>
      </w:r>
      <w:r>
        <w:rPr>
          <w:rFonts w:hint="default"/>
        </w:rPr>
        <w:t>. However, the main residential quarters and industrial facilities are located closer to the former. On the eastern coast (at the mouth of the Magadanka River</w:t>
      </w:r>
      <w:r>
        <w:rPr>
          <w:rFonts w:hint="default"/>
          <w:lang w:val="en-US"/>
        </w:rPr>
        <w:t>, Fig. ++</w:t>
      </w:r>
      <w:r>
        <w:rPr>
          <w:rFonts w:hint="default"/>
        </w:rPr>
        <w:t xml:space="preserve">), an extensive silty-sand beach is </w:t>
      </w:r>
      <w:r>
        <w:rPr>
          <w:rFonts w:hint="default"/>
          <w:lang w:val="en-US"/>
        </w:rPr>
        <w:t xml:space="preserve">presented. </w:t>
      </w:r>
    </w:p>
    <w:p w14:paraId="2424F104">
      <w:pPr>
        <w:rPr>
          <w:rFonts w:hint="default"/>
        </w:rPr>
      </w:pPr>
      <w:r>
        <w:rPr>
          <w:rFonts w:hint="default"/>
        </w:rPr>
        <w:t>The coastline at the surveyed sites is largely uninvolved in industrial activities, with the exception of a large seaport located in Nagaeva Bay on the western edge of Magadan</w:t>
      </w:r>
      <w:r>
        <w:rPr>
          <w:rFonts w:hint="default"/>
          <w:lang w:val="en-US"/>
        </w:rPr>
        <w:t xml:space="preserve"> (Fig. +++)</w:t>
      </w:r>
      <w:r>
        <w:rPr>
          <w:rFonts w:hint="default"/>
        </w:rPr>
        <w:t>.</w:t>
      </w:r>
    </w:p>
    <w:p w14:paraId="49B827C5">
      <w:pPr>
        <w:rPr>
          <w:rFonts w:hint="default"/>
        </w:rPr>
      </w:pPr>
    </w:p>
    <w:p w14:paraId="135C2E11">
      <w:pPr>
        <w:rPr>
          <w:rFonts w:hint="default"/>
        </w:rPr>
      </w:pPr>
      <w:r>
        <w:rPr>
          <w:rFonts w:hint="default"/>
        </w:rPr>
        <w:t>**Collection</w:t>
      </w:r>
      <w:r>
        <w:rPr>
          <w:rFonts w:hint="default"/>
          <w:lang w:val="en-US"/>
        </w:rPr>
        <w:t>s</w:t>
      </w:r>
      <w:r>
        <w:rPr>
          <w:rFonts w:hint="default"/>
        </w:rPr>
        <w:t xml:space="preserve"> for BTN Infection Analysis**</w:t>
      </w:r>
    </w:p>
    <w:p w14:paraId="43F8DBB4">
      <w:pPr>
        <w:rPr>
          <w:rFonts w:hint="default"/>
        </w:rPr>
      </w:pPr>
    </w:p>
    <w:p w14:paraId="50253D78">
      <w:pPr>
        <w:rPr>
          <w:rFonts w:hint="default"/>
        </w:rPr>
      </w:pPr>
      <w:r>
        <w:rPr>
          <w:rFonts w:hint="default"/>
        </w:rPr>
        <w:t xml:space="preserve">At each site, ++ to ++ large mollusks (shell length ++–++ mm) were collected. In 2021, collections were carried out across the entire area designated for </w:t>
      </w:r>
      <w:r>
        <w:rPr>
          <w:rFonts w:hint="default"/>
          <w:lang w:val="en-US"/>
        </w:rPr>
        <w:t>sampling</w:t>
      </w:r>
      <w:r>
        <w:rPr>
          <w:rFonts w:hint="default"/>
        </w:rPr>
        <w:t>, within a radius of several tens of meters. In 2023, the scheme was modified: within each site, 3–5 small subplots (radius ≤10 m</w:t>
      </w:r>
      <w:r>
        <w:rPr>
          <w:rFonts w:hint="default"/>
          <w:lang w:val="en-US"/>
        </w:rPr>
        <w:t xml:space="preserve"> ?</w:t>
      </w:r>
      <w:r>
        <w:rPr>
          <w:rFonts w:hint="default"/>
        </w:rPr>
        <w:t xml:space="preserve">), separated from one another by several tens of meters, were established. Collections from each such subplot were treated as </w:t>
      </w:r>
      <w:r>
        <w:rPr>
          <w:rFonts w:hint="default"/>
          <w:lang w:val="en-US"/>
        </w:rPr>
        <w:t>separated</w:t>
      </w:r>
      <w:r>
        <w:rPr>
          <w:rFonts w:hint="default"/>
        </w:rPr>
        <w:t xml:space="preserve"> sample</w:t>
      </w:r>
      <w:r>
        <w:rPr>
          <w:rFonts w:hint="default"/>
          <w:lang w:val="en-US"/>
        </w:rPr>
        <w:t>s</w:t>
      </w:r>
      <w:r>
        <w:rPr>
          <w:rFonts w:hint="default"/>
        </w:rPr>
        <w:t>.</w:t>
      </w:r>
    </w:p>
    <w:p w14:paraId="18D4173D">
      <w:pPr>
        <w:rPr>
          <w:rFonts w:hint="default"/>
        </w:rPr>
      </w:pPr>
    </w:p>
    <w:p w14:paraId="0AE0698C">
      <w:pPr>
        <w:rPr>
          <w:rFonts w:hint="default"/>
        </w:rPr>
      </w:pPr>
      <w:r>
        <w:rPr>
          <w:rFonts w:hint="default"/>
        </w:rPr>
        <w:t>**Collection</w:t>
      </w:r>
      <w:r>
        <w:rPr>
          <w:rFonts w:hint="default"/>
          <w:lang w:val="en-US"/>
        </w:rPr>
        <w:t>s</w:t>
      </w:r>
      <w:r>
        <w:rPr>
          <w:rFonts w:hint="default"/>
        </w:rPr>
        <w:t xml:space="preserve"> for </w:t>
      </w:r>
      <w:r>
        <w:rPr>
          <w:rFonts w:hint="default"/>
          <w:lang w:val="en-US"/>
        </w:rPr>
        <w:t xml:space="preserve">Mussel </w:t>
      </w:r>
      <w:r>
        <w:rPr>
          <w:rFonts w:hint="default"/>
        </w:rPr>
        <w:t>Population Structure Analysis**</w:t>
      </w:r>
    </w:p>
    <w:p w14:paraId="71263980">
      <w:pPr>
        <w:rPr>
          <w:rFonts w:hint="default"/>
        </w:rPr>
      </w:pPr>
    </w:p>
    <w:p w14:paraId="287728BB">
      <w:pPr>
        <w:rPr>
          <w:rFonts w:hint="default"/>
        </w:rPr>
      </w:pPr>
      <w:r>
        <w:rPr>
          <w:rFonts w:hint="default"/>
        </w:rPr>
        <w:t xml:space="preserve">At each site, three quantitative samples were taken from randomly selected locations. Each sample consisted of all mussels </w:t>
      </w:r>
      <w:r>
        <w:rPr>
          <w:rFonts w:hint="default"/>
          <w:lang w:val="en-US"/>
        </w:rPr>
        <w:t xml:space="preserve">taken </w:t>
      </w:r>
      <w:r>
        <w:rPr>
          <w:rFonts w:hint="default"/>
        </w:rPr>
        <w:t>from a known area. Samples were placed in plastic bags and transported to the laboratory.</w:t>
      </w:r>
    </w:p>
    <w:p w14:paraId="456614A5">
      <w:pPr>
        <w:rPr>
          <w:rFonts w:hint="default"/>
        </w:rPr>
      </w:pPr>
    </w:p>
    <w:p w14:paraId="7B836F5B">
      <w:pPr>
        <w:rPr>
          <w:rFonts w:hint="default"/>
        </w:rPr>
      </w:pPr>
      <w:r>
        <w:rPr>
          <w:rFonts w:hint="default"/>
        </w:rPr>
        <w:t>At all sites in both years, overall views of mussel settlements were photographed (Fig. S++). Based on a visual assessment of substrate coverage by mussel aggregations, each site was assigned to one of four classes. The first class included sites where mussel settlements were sparse and covered less than 10% of the substrate area. The fourth class included sites where mussels occupied more than 50% of the bottom surface. Classes 2 and 3 included sites with coverage below and above 25% of the substrate surface, respectively. Next, according to this classification, each site described in a given year was assigned a point-based coverage score. To validate the proposed coverage scale, several tens of surface plots were photographed at each site in 2023. A smartphone mounted on a remotely controlled selfie stick was used for photography. The camera was positioned approximately 2.5 m above the substrate surface.</w:t>
      </w:r>
    </w:p>
    <w:p w14:paraId="67B95639">
      <w:pPr>
        <w:rPr>
          <w:rFonts w:hint="default"/>
        </w:rPr>
      </w:pPr>
    </w:p>
    <w:p w14:paraId="5B71DB5A">
      <w:pPr>
        <w:rPr>
          <w:rFonts w:hint="default"/>
        </w:rPr>
      </w:pPr>
    </w:p>
    <w:p w14:paraId="28EB27F7">
      <w:pPr>
        <w:rPr>
          <w:rFonts w:hint="default"/>
        </w:rPr>
      </w:pPr>
      <w:r>
        <w:rPr>
          <w:rFonts w:hint="default"/>
        </w:rPr>
        <w:t>**Processing of Quantitative Samples**</w:t>
      </w:r>
    </w:p>
    <w:p w14:paraId="2904FA71">
      <w:pPr>
        <w:rPr>
          <w:rFonts w:hint="default"/>
        </w:rPr>
      </w:pPr>
    </w:p>
    <w:p w14:paraId="4E43F44F">
      <w:pPr>
        <w:rPr>
          <w:rFonts w:hint="default"/>
        </w:rPr>
      </w:pPr>
      <w:r>
        <w:rPr>
          <w:rFonts w:hint="default"/>
        </w:rPr>
        <w:t xml:space="preserve">Samples were washed through a 1 mm mesh sieve. All </w:t>
      </w:r>
      <w:r>
        <w:rPr>
          <w:rFonts w:hint="default"/>
          <w:lang w:val="en-US"/>
        </w:rPr>
        <w:t>a</w:t>
      </w:r>
      <w:r>
        <w:rPr>
          <w:rFonts w:hint="default"/>
        </w:rPr>
        <w:t>live mussels were picked from the samples. Shell length was measured for all collected individuals to the nearest 1 mm.</w:t>
      </w:r>
    </w:p>
    <w:p w14:paraId="7C93C4B7">
      <w:pPr>
        <w:rPr>
          <w:rFonts w:hint="default"/>
        </w:rPr>
      </w:pPr>
    </w:p>
    <w:p w14:paraId="6B3B99CB">
      <w:pPr>
        <w:rPr>
          <w:rFonts w:hint="default"/>
        </w:rPr>
      </w:pPr>
      <w:r>
        <w:rPr>
          <w:rFonts w:hint="default"/>
        </w:rPr>
        <w:t>From several samples, 112 mollusks of varying sizes were selected to determine the relationship between shell length and mollusk weight. The resulting regression equation was used to estimate mollusk biomass reconstructed from the size structure.</w:t>
      </w:r>
    </w:p>
    <w:p w14:paraId="7DAF5285">
      <w:pPr>
        <w:rPr>
          <w:rFonts w:hint="default"/>
        </w:rPr>
      </w:pPr>
    </w:p>
    <w:p w14:paraId="4F987AE2">
      <w:pPr>
        <w:rPr>
          <w:rFonts w:hint="default"/>
        </w:rPr>
      </w:pPr>
      <w:r>
        <w:rPr>
          <w:rFonts w:hint="default"/>
        </w:rPr>
        <w:t>**Processing of Photographs**</w:t>
      </w:r>
    </w:p>
    <w:p w14:paraId="382DA2F3">
      <w:pPr>
        <w:rPr>
          <w:rFonts w:hint="default"/>
        </w:rPr>
      </w:pPr>
    </w:p>
    <w:p w14:paraId="501F73B0">
      <w:pPr>
        <w:rPr>
          <w:rFonts w:hint="default"/>
        </w:rPr>
      </w:pPr>
      <w:r>
        <w:rPr>
          <w:rFonts w:hint="default"/>
        </w:rPr>
        <w:t>From the set of shots taken to assess cover by mussel patches at each site, 30 frames were randomly selected. Each selected frame was divided into 100 cells (10 horizontal × 10 vertical rows). Subsequently, 30 cells were randomly selected, and the number of cells in which mussel patches occupied more than a quarter of the cell area was counted. For each frame, the ratio of such cells to 30 was calculated. For all frames taken at a given site, the mean value of this index was calculated and used as a</w:t>
      </w:r>
      <w:r>
        <w:rPr>
          <w:rFonts w:hint="default"/>
          <w:lang w:val="en-US"/>
        </w:rPr>
        <w:t>n objective</w:t>
      </w:r>
      <w:r>
        <w:rPr>
          <w:rFonts w:hint="default"/>
        </w:rPr>
        <w:t xml:space="preserve"> characteristic of the cover of mussel patches. These values were then compared with the point-based coverage scores described above.</w:t>
      </w:r>
    </w:p>
    <w:p w14:paraId="52271CF7">
      <w:pPr>
        <w:rPr>
          <w:rFonts w:hint="default"/>
        </w:rPr>
      </w:pPr>
    </w:p>
    <w:p w14:paraId="31D823C1">
      <w:pPr>
        <w:rPr>
          <w:rFonts w:hint="default"/>
        </w:rPr>
      </w:pPr>
    </w:p>
    <w:p w14:paraId="354145FB">
      <w:pPr>
        <w:rPr>
          <w:rFonts w:hint="default"/>
          <w:lang w:val="en-US"/>
        </w:rPr>
      </w:pPr>
      <w:r>
        <w:rPr>
          <w:rFonts w:hint="default"/>
          <w:lang w:val="en-US"/>
        </w:rPr>
        <w:t>**Analysis of Mussel growth rate**</w:t>
      </w:r>
    </w:p>
    <w:p w14:paraId="401D27B2">
      <w:pPr>
        <w:rPr>
          <w:rFonts w:hint="default"/>
          <w:lang w:val="ru-RU"/>
        </w:rPr>
      </w:pPr>
      <w:r>
        <w:rPr>
          <w:rFonts w:hint="default"/>
          <w:lang w:val="ru-RU"/>
        </w:rPr>
        <w:t>+++++++</w:t>
      </w:r>
    </w:p>
    <w:p w14:paraId="2FE5FED2">
      <w:pPr>
        <w:rPr>
          <w:rFonts w:hint="default"/>
          <w:lang w:val="ru-RU"/>
        </w:rPr>
      </w:pPr>
    </w:p>
    <w:p w14:paraId="6C7BEF2D">
      <w:pPr>
        <w:rPr>
          <w:rFonts w:hint="default"/>
        </w:rPr>
      </w:pPr>
    </w:p>
    <w:p w14:paraId="3E9A6133">
      <w:pPr>
        <w:rPr>
          <w:rFonts w:hint="default"/>
          <w:lang w:val="ru-RU"/>
        </w:rPr>
      </w:pPr>
      <w:r>
        <w:rPr>
          <w:rFonts w:hint="default"/>
          <w:lang w:val="ru-RU"/>
        </w:rPr>
        <w:t>**</w:t>
      </w:r>
      <w:r>
        <w:rPr>
          <w:rFonts w:hint="default"/>
          <w:lang w:val="en-US"/>
        </w:rPr>
        <w:t>Shell increment assessment</w:t>
      </w:r>
      <w:r>
        <w:rPr>
          <w:rFonts w:hint="default"/>
          <w:lang w:val="ru-RU"/>
        </w:rPr>
        <w:t>**</w:t>
      </w:r>
    </w:p>
    <w:p w14:paraId="3B67C74A">
      <w:pPr>
        <w:rPr>
          <w:rFonts w:hint="default"/>
          <w:lang w:val="ru-RU"/>
        </w:rPr>
      </w:pPr>
      <w:r>
        <w:rPr>
          <w:rFonts w:hint="default"/>
          <w:lang w:val="ru-RU"/>
        </w:rPr>
        <w:t xml:space="preserve">Using the analysis of growth </w:t>
      </w:r>
      <w:r>
        <w:rPr>
          <w:rFonts w:hint="default"/>
          <w:lang w:val="en-US"/>
        </w:rPr>
        <w:t xml:space="preserve">rings </w:t>
      </w:r>
      <w:r>
        <w:rPr>
          <w:rFonts w:hint="default"/>
          <w:lang w:val="ru-RU"/>
        </w:rPr>
        <w:t>described above, we estimated the relative shell length increment in healthy mussels and in individuals infected with different BTN lineages. The increment was measured from the last ring to the shell margin</w:t>
      </w:r>
      <w:r>
        <w:rPr>
          <w:rFonts w:hint="default"/>
          <w:lang w:val="en-US"/>
        </w:rPr>
        <w:t xml:space="preserve"> (Fig. ++)</w:t>
      </w:r>
      <w:r>
        <w:rPr>
          <w:rFonts w:hint="default"/>
          <w:lang w:val="ru-RU"/>
        </w:rPr>
        <w:t xml:space="preserve">, representing growth that occurred during the warm periods of 2021 and 2023 prior to mussel collection. These values were then normalized by the total shell length. </w:t>
      </w:r>
    </w:p>
    <w:p w14:paraId="0274C160">
      <w:pPr>
        <w:rPr>
          <w:rFonts w:hint="default"/>
          <w:lang w:val="ru-RU"/>
        </w:rPr>
      </w:pPr>
    </w:p>
    <w:p w14:paraId="1A387B85">
      <w:pPr>
        <w:rPr>
          <w:rFonts w:hint="default"/>
          <w:lang w:val="ru-RU"/>
        </w:rPr>
      </w:pPr>
    </w:p>
    <w:p w14:paraId="58C115C7">
      <w:pPr>
        <w:rPr>
          <w:rFonts w:hint="default"/>
          <w:lang w:val="en-US"/>
        </w:rPr>
      </w:pPr>
      <w:r>
        <w:rPr>
          <w:rFonts w:hint="default"/>
          <w:lang w:val="en-US"/>
        </w:rPr>
        <w:t>**Gonad condition assessment**</w:t>
      </w:r>
    </w:p>
    <w:p w14:paraId="68C4041A">
      <w:pPr>
        <w:rPr>
          <w:rFonts w:hint="default"/>
          <w:lang w:val="ru-RU"/>
        </w:rPr>
      </w:pPr>
      <w:r>
        <w:rPr>
          <w:rFonts w:hint="default"/>
          <w:lang w:val="en-US"/>
        </w:rPr>
        <w:t>+++++++</w:t>
      </w:r>
      <w:r>
        <w:rPr>
          <w:rFonts w:hint="default"/>
          <w:lang w:val="ru-RU"/>
        </w:rPr>
        <w:t xml:space="preserve"> </w:t>
      </w:r>
    </w:p>
    <w:p w14:paraId="31C9CC7E">
      <w:pPr>
        <w:rPr>
          <w:rFonts w:hint="default"/>
        </w:rPr>
      </w:pPr>
    </w:p>
    <w:p w14:paraId="3C50B5C0">
      <w:pPr>
        <w:rPr>
          <w:rFonts w:hint="default"/>
          <w:lang w:val="en-US"/>
        </w:rPr>
      </w:pPr>
      <w:r>
        <w:rPr>
          <w:rFonts w:hint="default"/>
          <w:lang w:val="en-US"/>
        </w:rPr>
        <w:t>**Statistical processing**</w:t>
      </w:r>
    </w:p>
    <w:p w14:paraId="30194228">
      <w:pPr>
        <w:rPr>
          <w:rFonts w:hint="default"/>
        </w:rPr>
      </w:pPr>
    </w:p>
    <w:p w14:paraId="3E5D6243">
      <w:pPr>
        <w:rPr>
          <w:rFonts w:hint="default"/>
        </w:rPr>
      </w:pPr>
      <w:r>
        <w:rPr>
          <w:rFonts w:hint="default"/>
        </w:rPr>
        <w:t>**Predictor Assessment for Statistical Models**</w:t>
      </w:r>
    </w:p>
    <w:p w14:paraId="6C21AF4A">
      <w:pPr>
        <w:rPr>
          <w:rFonts w:hint="default"/>
        </w:rPr>
      </w:pPr>
    </w:p>
    <w:p w14:paraId="1BAE8223">
      <w:pPr>
        <w:rPr>
          <w:rFonts w:hint="default"/>
        </w:rPr>
      </w:pPr>
      <w:r>
        <w:rPr>
          <w:rFonts w:hint="default"/>
        </w:rPr>
        <w:t xml:space="preserve">Population-based predictors included mollusk abundance across different size classes, </w:t>
      </w:r>
      <w:r>
        <w:rPr>
          <w:rFonts w:hint="default"/>
          <w:lang w:val="en-US"/>
        </w:rPr>
        <w:t xml:space="preserve">mussel </w:t>
      </w:r>
      <w:r>
        <w:rPr>
          <w:rFonts w:hint="default"/>
        </w:rPr>
        <w:t xml:space="preserve">biomass, and the cover </w:t>
      </w:r>
      <w:r>
        <w:rPr>
          <w:rFonts w:hint="default"/>
          <w:lang w:val="en-US"/>
        </w:rPr>
        <w:t>scores</w:t>
      </w:r>
      <w:r>
        <w:rPr>
          <w:rFonts w:hint="default"/>
        </w:rPr>
        <w:t>. Since all these variables were highly correlated with one another, they were processed using principal component analysis (PCA).</w:t>
      </w:r>
    </w:p>
    <w:p w14:paraId="01F7477F">
      <w:pPr>
        <w:rPr>
          <w:rFonts w:hint="default"/>
        </w:rPr>
      </w:pPr>
      <w:r>
        <w:rPr>
          <w:rFonts w:hint="default"/>
          <w:lang w:val="en-US"/>
        </w:rPr>
        <w:t>For this analysis</w:t>
      </w:r>
      <w:r>
        <w:rPr>
          <w:rFonts w:hint="default"/>
        </w:rPr>
        <w:t xml:space="preserve"> the size scale was divided into 5 mm interval classes, and for each class, the mean number of mollusks per three quantitative samples was calculated for each site. The resulting matrix characterized mussel </w:t>
      </w:r>
      <w:r>
        <w:rPr>
          <w:rFonts w:hint="default"/>
          <w:lang w:val="en-US"/>
        </w:rPr>
        <w:t xml:space="preserve">abundance </w:t>
      </w:r>
      <w:r>
        <w:rPr>
          <w:rFonts w:hint="default"/>
        </w:rPr>
        <w:t xml:space="preserve">across different sizes within each site. These values, together with mussel biomass (calculated as the mean of three samples) and cover, were used as a matrix of population descriptors, which was then subjected to PCA. The scores of the </w:t>
      </w:r>
      <w:r>
        <w:rPr>
          <w:rFonts w:hint="default"/>
          <w:lang w:val="en-US"/>
        </w:rPr>
        <w:t>PC1 and PC2</w:t>
      </w:r>
      <w:r>
        <w:rPr>
          <w:rFonts w:hint="default"/>
        </w:rPr>
        <w:t>,</w:t>
      </w:r>
      <w:r>
        <w:rPr>
          <w:rFonts w:hint="default"/>
          <w:lang w:val="en-US"/>
        </w:rPr>
        <w:t xml:space="preserve"> the</w:t>
      </w:r>
      <w:r>
        <w:rPr>
          <w:rFonts w:hint="default"/>
        </w:rPr>
        <w:t xml:space="preserve"> most informative principal component</w:t>
      </w:r>
      <w:r>
        <w:rPr>
          <w:rFonts w:hint="default"/>
          <w:lang w:val="en-US"/>
        </w:rPr>
        <w:t>s,</w:t>
      </w:r>
      <w:r>
        <w:rPr>
          <w:rFonts w:hint="default"/>
        </w:rPr>
        <w:t xml:space="preserve"> were treated as predictor</w:t>
      </w:r>
      <w:r>
        <w:rPr>
          <w:rFonts w:hint="default"/>
          <w:lang w:val="en-US"/>
        </w:rPr>
        <w:t>s</w:t>
      </w:r>
      <w:r>
        <w:rPr>
          <w:rFonts w:hint="default"/>
        </w:rPr>
        <w:t>, characterizing mussel population structure.</w:t>
      </w:r>
      <w:r>
        <w:rPr>
          <w:rFonts w:hint="default"/>
          <w:lang w:val="en-US"/>
        </w:rPr>
        <w:t xml:space="preserve"> In addition to PCs we used </w:t>
      </w:r>
      <w:r>
        <w:rPr>
          <w:rFonts w:hint="default"/>
        </w:rPr>
        <w:t>OGP as an independent</w:t>
      </w:r>
      <w:r>
        <w:rPr>
          <w:rFonts w:hint="default"/>
          <w:lang w:val="en-US"/>
        </w:rPr>
        <w:t xml:space="preserve"> biotic</w:t>
      </w:r>
      <w:r>
        <w:rPr>
          <w:rFonts w:hint="default"/>
        </w:rPr>
        <w:t xml:space="preserve"> predictor. </w:t>
      </w:r>
    </w:p>
    <w:p w14:paraId="71266849">
      <w:r>
        <w:rPr>
          <w:rFonts w:hint="default"/>
          <w:lang w:val="en-US"/>
        </w:rPr>
        <w:t>In addition to biotic predictors described above we used two abiotic ones.</w:t>
      </w:r>
      <w:r>
        <w:rPr>
          <w:rFonts w:hint="default"/>
        </w:rPr>
        <w:t xml:space="preserve">The first abiotic predictor was the distance along the shoreline from the </w:t>
      </w:r>
      <w:r>
        <w:rPr>
          <w:rFonts w:hint="default"/>
          <w:lang w:val="en-US"/>
        </w:rPr>
        <w:t xml:space="preserve">Magadan’ </w:t>
      </w:r>
      <w:r>
        <w:rPr>
          <w:rFonts w:hint="default"/>
        </w:rPr>
        <w:t xml:space="preserve">seaport to the sampling site. The second predictor of this category characterized the degree of coastal exposure to wave action. For this purpose, the fetch value (+++), which describes the average distance a wind wave can travel from all directions to a given site without encountering geographic obstacles, was used. This value was determined using functions from the </w:t>
      </w:r>
      <w:r>
        <w:rPr>
          <w:rFonts w:hint="default"/>
          <w:lang w:val="en-US"/>
        </w:rPr>
        <w:t>“waver”</w:t>
      </w:r>
      <w:r>
        <w:rPr>
          <w:rFonts w:hint="default"/>
        </w:rPr>
        <w:t xml:space="preserve"> package (Marchand P, Gill D (2023)).</w:t>
      </w:r>
    </w:p>
    <w:p w14:paraId="280AF17F">
      <w:pPr>
        <w:rPr>
          <w:lang w:val="en-US"/>
        </w:rPr>
      </w:pPr>
    </w:p>
    <w:p w14:paraId="3A902134">
      <w:pPr>
        <w:rPr>
          <w:rFonts w:hint="default"/>
          <w:lang w:val="en-US"/>
        </w:rPr>
      </w:pPr>
      <w:r>
        <w:rPr>
          <w:rFonts w:hint="default"/>
          <w:lang w:val="en-US"/>
        </w:rPr>
        <w:t>**Statistic model describing dependence of BTN prevalence on predictors**</w:t>
      </w:r>
    </w:p>
    <w:p w14:paraId="4086754E">
      <w:pPr>
        <w:rPr>
          <w:rFonts w:hint="default"/>
          <w:lang w:val="ru-RU"/>
        </w:rPr>
      </w:pPr>
    </w:p>
    <w:p w14:paraId="698024BA">
      <w:pPr>
        <w:rPr>
          <w:rFonts w:hint="default"/>
          <w:lang w:val="ru-RU"/>
        </w:rPr>
      </w:pPr>
      <w:r>
        <w:rPr>
          <w:rFonts w:hint="default"/>
          <w:lang w:val="en-US"/>
        </w:rPr>
        <w:t>To analyze the effects of environmental and biotic predictors on the proportion of neoplastic cells in mollusk populations, we employed a binomial Generalized Mixed effect Additive Model (GAMM) with a logit link function (Model 1). To account for lineage-specific responses, separate smooth functions were fitted for each level of the factor “Lineage” for the following continuous predictors: distance from the port (“Dist_Port”), wave exposure (“Fetch”), the first and second principal components of correlated population descriptors (“PC1”, “PC2”), and a proxy for mollusk growth rate (“OGP”). Each smooth term was implemented using a cubic regression spline with a shrinkage basis to allow for potential nonlinear patterns. A parametric term for “Lineage” was also included to assess the differences in intercepts among lineages. To control for unmeasured temporal and spatial variation, we included a smooth random effect which treats the interaction of year and site as a random intercept. The model was fitted using restricted maximum likelihood method.  To assess the validity of the Model 1, we performed a residual diagnostic analysis using the DHARMa package (Hartig, 2022).</w:t>
      </w:r>
      <w:r>
        <w:rPr>
          <w:rFonts w:hint="default"/>
          <w:lang w:val="ru-RU"/>
        </w:rPr>
        <w:t xml:space="preserve"> </w:t>
      </w:r>
      <w:r>
        <w:rPr>
          <w:rFonts w:hint="default"/>
          <w:lang w:val="en-US"/>
        </w:rPr>
        <w:t>No violations of model assumptions were detected</w:t>
      </w:r>
      <w:r>
        <w:rPr>
          <w:rFonts w:hint="default"/>
          <w:lang w:val="ru-RU"/>
        </w:rPr>
        <w:t>.</w:t>
      </w:r>
    </w:p>
    <w:p w14:paraId="08B2D623">
      <w:pPr>
        <w:rPr>
          <w:rFonts w:hint="default"/>
          <w:lang w:val="ru-RU"/>
        </w:rPr>
      </w:pPr>
    </w:p>
    <w:p w14:paraId="7920DCB3">
      <w:pPr>
        <w:rPr>
          <w:rFonts w:hint="default"/>
          <w:lang w:val="en-US"/>
        </w:rPr>
      </w:pPr>
      <w:r>
        <w:rPr>
          <w:rFonts w:hint="default"/>
          <w:lang w:val="en-US"/>
        </w:rPr>
        <w:t>**Statistic model describing dependence of shell gonad condition on BTN infection (Model 2)**</w:t>
      </w:r>
    </w:p>
    <w:p w14:paraId="7D329998">
      <w:pPr>
        <w:rPr>
          <w:rFonts w:hint="default"/>
          <w:lang w:val="ru-RU"/>
        </w:rPr>
      </w:pPr>
      <w:r>
        <w:rPr>
          <w:rFonts w:hint="default"/>
          <w:lang w:val="en-US"/>
        </w:rPr>
        <w:t>Only infected mussels were used for this analysis. The dependent variable in the model was the frequency of grid nodes falling on acini (positive response) versus the frequency of nodes falling on connective tissue (negative response). This value characterizes the acini size relative to the area of the section occupied by connective tissue, i.e., the degree of gonad development. The predictors considered were the cancer cell line (a discrete factor with two levels) and the proportion of aneuploid cells in the hemolymph (a continuous predictor). The latter was used as a proxy for assessing the stage of disease progression. The model also included an interaction term between the predictors. These variables were used to fit a binomial logistic regression model. Additionally, we calculated the mean probability of grid nodes falling on acini for healthy mussels. Confidence intervals for both cases were estimated using the bootstrap method.</w:t>
      </w:r>
      <w:r>
        <w:rPr>
          <w:rFonts w:hint="default"/>
          <w:lang w:val="ru-RU"/>
        </w:rPr>
        <w:t xml:space="preserve"> </w:t>
      </w:r>
    </w:p>
    <w:p w14:paraId="1244479D">
      <w:pPr>
        <w:rPr>
          <w:rFonts w:hint="default"/>
          <w:lang w:val="en-US"/>
        </w:rPr>
      </w:pPr>
      <w:r>
        <w:rPr>
          <w:rFonts w:hint="default"/>
          <w:lang w:val="en-US"/>
        </w:rPr>
        <w:t xml:space="preserve">The functions from package “sats” ( R Core Team, 2025) and “boot” (Canty, Ripley, 2025) were used for this analysis. </w:t>
      </w:r>
    </w:p>
    <w:p w14:paraId="1208AFBE">
      <w:pPr>
        <w:rPr>
          <w:rFonts w:hint="default"/>
          <w:lang w:val="ru-RU"/>
        </w:rPr>
      </w:pPr>
    </w:p>
    <w:p w14:paraId="3D0EF4AC">
      <w:pPr>
        <w:rPr>
          <w:rFonts w:hint="default"/>
          <w:lang w:val="en-US"/>
        </w:rPr>
      </w:pPr>
    </w:p>
    <w:p w14:paraId="01B514DC">
      <w:pPr>
        <w:rPr>
          <w:rFonts w:hint="default"/>
          <w:lang w:val="en-US"/>
        </w:rPr>
      </w:pPr>
      <w:r>
        <w:rPr>
          <w:rFonts w:hint="default"/>
          <w:lang w:val="en-US"/>
        </w:rPr>
        <w:t>**Statistic model describing dependence of shell increment on BTN infection (Model3)**</w:t>
      </w:r>
    </w:p>
    <w:p w14:paraId="4EF153E8">
      <w:pPr>
        <w:rPr>
          <w:rFonts w:hint="default"/>
          <w:lang w:val="ru-RU"/>
        </w:rPr>
      </w:pPr>
      <w:r>
        <w:rPr>
          <w:rFonts w:hint="default"/>
          <w:lang w:val="ru-RU"/>
        </w:rPr>
        <w:t xml:space="preserve">The dependent variable in this model was the ratio of last year's increment to mussel size. This value was subjected to Fisher's z-transformation to approximate a normal distribution. The model included a fixed effect of BTN line (BTN_Type, a discrete factor with three levels: healthy, BTN1, and BTN2). To account for the effect of mussel size on the increment, a covariate representing the distance from the shell </w:t>
      </w:r>
      <w:r>
        <w:rPr>
          <w:rFonts w:hint="default"/>
          <w:lang w:val="en-US"/>
        </w:rPr>
        <w:t xml:space="preserve">umbo </w:t>
      </w:r>
      <w:r>
        <w:rPr>
          <w:rFonts w:hint="default"/>
          <w:lang w:val="ru-RU"/>
        </w:rPr>
        <w:t>to the last growth ring (Last_ring) was included in the model. The effect of this covariate was described using a nonparametric smoothing function based on cubic splines, with the shape of the spline allowed to vary depending on the level of the BTN_Type factor. To account for random variation among sites, a random site effect was included in the model. Model parameters were estimated using Restricted Maximum Likelihood ("REML").</w:t>
      </w:r>
    </w:p>
    <w:p w14:paraId="00ACB0B1">
      <w:pPr>
        <w:rPr>
          <w:rFonts w:hint="default"/>
          <w:lang w:val="ru-RU"/>
        </w:rPr>
      </w:pPr>
    </w:p>
    <w:p w14:paraId="5C5A1652">
      <w:pPr>
        <w:rPr>
          <w:rFonts w:hint="default"/>
          <w:lang w:val="en-US"/>
        </w:rPr>
      </w:pPr>
      <w:r>
        <w:rPr>
          <w:rFonts w:hint="default"/>
          <w:lang w:val="en-US"/>
        </w:rPr>
        <w:t>Variations in Mytilus trossulus population structure</w:t>
      </w:r>
    </w:p>
    <w:p w14:paraId="20C98119">
      <w:pPr>
        <w:rPr>
          <w:lang w:val="en-US"/>
        </w:rPr>
      </w:pPr>
    </w:p>
    <w:p w14:paraId="724A7691">
      <w:pPr>
        <w:rPr>
          <w:rFonts w:hint="default"/>
          <w:lang w:val="en-US"/>
        </w:rPr>
      </w:pPr>
      <w:r>
        <w:rPr>
          <w:rFonts w:hint="default"/>
          <w:lang w:val="en-US"/>
        </w:rPr>
        <w:t>For SEM</w:t>
      </w:r>
    </w:p>
    <w:p w14:paraId="161F4EA1">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Principal component analysis revealed that the </w:t>
      </w:r>
      <w:r>
        <w:rPr>
          <w:rFonts w:hint="default" w:ascii="Segoe UI" w:hAnsi="Segoe UI" w:eastAsia="Segoe UI" w:cs="Segoe UI"/>
          <w:i w:val="0"/>
          <w:iCs w:val="0"/>
          <w:caps w:val="0"/>
          <w:color w:val="0F1115"/>
          <w:spacing w:val="0"/>
          <w:sz w:val="19"/>
          <w:szCs w:val="19"/>
          <w:shd w:val="clear" w:fill="FFFFFF"/>
          <w:lang w:val="en-US"/>
        </w:rPr>
        <w:t>main</w:t>
      </w:r>
      <w:r>
        <w:rPr>
          <w:rFonts w:hint="default" w:ascii="Segoe UI" w:hAnsi="Segoe UI" w:eastAsia="Segoe UI" w:cs="Segoe UI"/>
          <w:i w:val="0"/>
          <w:iCs w:val="0"/>
          <w:caps w:val="0"/>
          <w:color w:val="0F1115"/>
          <w:spacing w:val="0"/>
          <w:sz w:val="19"/>
          <w:szCs w:val="19"/>
          <w:shd w:val="clear" w:fill="FFFFFF"/>
        </w:rPr>
        <w:t xml:space="preserve"> variation in population structure (PC1, explaining 34.0% of the total variance) was associated with variability in abundance </w:t>
      </w:r>
      <w:r>
        <w:rPr>
          <w:rFonts w:hint="default" w:ascii="Segoe UI" w:hAnsi="Segoe UI" w:eastAsia="Segoe UI" w:cs="Segoe UI"/>
          <w:i w:val="0"/>
          <w:iCs w:val="0"/>
          <w:caps w:val="0"/>
          <w:color w:val="0F1115"/>
          <w:spacing w:val="0"/>
          <w:sz w:val="19"/>
          <w:szCs w:val="19"/>
          <w:shd w:val="clear" w:fill="FFFFFF"/>
          <w:lang w:val="en-US"/>
        </w:rPr>
        <w:t xml:space="preserve">of mussels of different sizes </w:t>
      </w:r>
      <w:r>
        <w:rPr>
          <w:rFonts w:hint="default" w:ascii="Segoe UI" w:hAnsi="Segoe UI" w:eastAsia="Segoe UI" w:cs="Segoe UI"/>
          <w:i w:val="0"/>
          <w:iCs w:val="0"/>
          <w:caps w:val="0"/>
          <w:color w:val="0F1115"/>
          <w:spacing w:val="0"/>
          <w:sz w:val="19"/>
          <w:szCs w:val="19"/>
          <w:shd w:val="clear" w:fill="FFFFFF"/>
        </w:rPr>
        <w:t xml:space="preserve">(SFig. ++). </w:t>
      </w:r>
      <w:r>
        <w:rPr>
          <w:rFonts w:hint="default" w:ascii="Segoe UI" w:hAnsi="Segoe UI" w:eastAsia="Segoe UI" w:cs="Segoe UI"/>
          <w:i w:val="0"/>
          <w:iCs w:val="0"/>
          <w:caps w:val="0"/>
          <w:color w:val="0F1115"/>
          <w:spacing w:val="0"/>
          <w:sz w:val="19"/>
          <w:szCs w:val="19"/>
          <w:shd w:val="clear" w:fill="FFFFFF"/>
          <w:lang w:val="en-US"/>
        </w:rPr>
        <w:t>T</w:t>
      </w:r>
      <w:r>
        <w:rPr>
          <w:rFonts w:hint="default" w:ascii="Segoe UI" w:hAnsi="Segoe UI" w:eastAsia="Segoe UI" w:cs="Segoe UI"/>
          <w:i w:val="0"/>
          <w:iCs w:val="0"/>
          <w:caps w:val="0"/>
          <w:color w:val="0F1115"/>
          <w:spacing w:val="0"/>
          <w:sz w:val="19"/>
          <w:szCs w:val="19"/>
          <w:shd w:val="clear" w:fill="FFFFFF"/>
        </w:rPr>
        <w:t>he smallest mollusks (</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ize classes L3–L28) exhibited high positive loadings on PC1, whereas the largest mussels (L38–L58) were characterized by high negative loadings on PC1. The second principal component (17.3% of the total variance) was related to variation in mussel coverage (high positive loadings on PC2) and biomass (high negative loadings on PC2). PC2 was also associated with the abundance of intermediate size classes (L28–L38), which showed high negative loadings on PC2.</w:t>
      </w:r>
    </w:p>
    <w:p w14:paraId="10A902D4">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When ordered according to PC1 scores, the size frequency distributions (SFig. ++) demonstrated a clear gradient. Negative PC1 values corresponded to bimodal distributions with distinct peaks at both high and low size</w:t>
      </w:r>
      <w:r>
        <w:rPr>
          <w:rFonts w:hint="default" w:ascii="Segoe UI" w:hAnsi="Segoe UI" w:eastAsia="Segoe UI" w:cs="Segoe UI"/>
          <w:i w:val="0"/>
          <w:iCs w:val="0"/>
          <w:caps w:val="0"/>
          <w:color w:val="0F1115"/>
          <w:spacing w:val="0"/>
          <w:sz w:val="19"/>
          <w:szCs w:val="19"/>
          <w:shd w:val="clear" w:fill="FFFFFF"/>
          <w:lang w:val="en-US"/>
        </w:rPr>
        <w:t>s</w:t>
      </w:r>
      <w:r>
        <w:rPr>
          <w:rFonts w:hint="default" w:ascii="Segoe UI" w:hAnsi="Segoe UI" w:eastAsia="Segoe UI" w:cs="Segoe UI"/>
          <w:i w:val="0"/>
          <w:iCs w:val="0"/>
          <w:caps w:val="0"/>
          <w:color w:val="0F1115"/>
          <w:spacing w:val="0"/>
          <w:sz w:val="19"/>
          <w:szCs w:val="19"/>
          <w:shd w:val="clear" w:fill="FFFFFF"/>
        </w:rPr>
        <w:t>. In such settlements, large mollusks generally predominated. Positive PC1 values corresponded to unimodal distributions dominated by small mollusks.</w:t>
      </w:r>
    </w:p>
    <w:p w14:paraId="11D7DB69">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Comparison of PC1 scores between 2021 and 2023 (SFig. ++) indicated a substantial change in this parameter, suggesting significant interannual dynamics in settlement structure. Most settlements resampled in 2023 exhibited marked positive shifts in PC1 values</w:t>
      </w:r>
      <w:r>
        <w:rPr>
          <w:rFonts w:hint="default" w:ascii="Segoe UI" w:hAnsi="Segoe UI" w:eastAsia="Segoe UI" w:cs="Segoe UI"/>
          <w:i w:val="0"/>
          <w:iCs w:val="0"/>
          <w:caps w:val="0"/>
          <w:color w:val="0F1115"/>
          <w:spacing w:val="0"/>
          <w:sz w:val="19"/>
          <w:szCs w:val="19"/>
          <w:shd w:val="clear" w:fill="FFFFFF"/>
          <w:lang w:val="en-US"/>
        </w:rPr>
        <w:t xml:space="preserve"> in comparison with 2021</w:t>
      </w:r>
      <w:r>
        <w:rPr>
          <w:rFonts w:hint="default" w:ascii="Segoe UI" w:hAnsi="Segoe UI" w:eastAsia="Segoe UI" w:cs="Segoe UI"/>
          <w:i w:val="0"/>
          <w:iCs w:val="0"/>
          <w:caps w:val="0"/>
          <w:color w:val="0F1115"/>
          <w:spacing w:val="0"/>
          <w:sz w:val="19"/>
          <w:szCs w:val="19"/>
          <w:shd w:val="clear" w:fill="FFFFFF"/>
        </w:rPr>
        <w:t xml:space="preserve"> (SFig. ++). Thus, PC1 also characterizes a temporal gradient associated with the transition of settlements from dominance by large, old mussels to dominance by juveniles.</w:t>
      </w:r>
    </w:p>
    <w:p w14:paraId="4036FB25">
      <w:pPr>
        <w:rPr>
          <w:rFonts w:hint="default"/>
          <w:lang w:val="ru-RU"/>
        </w:rPr>
      </w:pPr>
    </w:p>
    <w:p w14:paraId="5A28A8F8">
      <w:pPr>
        <w:rPr>
          <w:rFonts w:hint="default"/>
          <w:lang w:val="ru-RU"/>
        </w:rPr>
      </w:pPr>
    </w:p>
    <w:p w14:paraId="7B062930">
      <w:pPr>
        <w:rPr>
          <w:rFonts w:hint="default"/>
          <w:lang w:val="ru-RU"/>
        </w:rPr>
      </w:pPr>
    </w:p>
    <w:p w14:paraId="4D8A5EBF">
      <w:pPr>
        <w:rPr>
          <w:rFonts w:hint="default"/>
          <w:lang w:val="ru-RU"/>
        </w:rPr>
      </w:pPr>
    </w:p>
    <w:p w14:paraId="33BC8F4C">
      <w:pPr>
        <w:rPr>
          <w:rFonts w:hint="default"/>
          <w:lang w:val="en-US"/>
        </w:rPr>
      </w:pPr>
      <w:r>
        <w:rPr>
          <w:rFonts w:hint="default"/>
          <w:lang w:val="en-US"/>
        </w:rPr>
        <w:t>Main text</w:t>
      </w:r>
    </w:p>
    <w:p w14:paraId="31F5C192">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most informative first principal component (PC1) characterizes variation in the size</w:t>
      </w:r>
      <w:r>
        <w:rPr>
          <w:rFonts w:hint="default" w:ascii="Segoe UI" w:hAnsi="Segoe UI" w:eastAsia="Segoe UI" w:cs="Segoe UI"/>
          <w:i w:val="0"/>
          <w:iCs w:val="0"/>
          <w:caps w:val="0"/>
          <w:color w:val="0F1115"/>
          <w:spacing w:val="0"/>
          <w:sz w:val="19"/>
          <w:szCs w:val="19"/>
          <w:shd w:val="clear" w:fill="FFFFFF"/>
          <w:lang w:val="en-US"/>
        </w:rPr>
        <w:t>-</w:t>
      </w:r>
      <w:r>
        <w:rPr>
          <w:rFonts w:hint="default" w:ascii="Segoe UI" w:hAnsi="Segoe UI" w:eastAsia="Segoe UI" w:cs="Segoe UI"/>
          <w:i w:val="0"/>
          <w:iCs w:val="0"/>
          <w:caps w:val="0"/>
          <w:color w:val="0F1115"/>
          <w:spacing w:val="0"/>
          <w:sz w:val="19"/>
          <w:szCs w:val="19"/>
          <w:shd w:val="clear" w:fill="FFFFFF"/>
        </w:rPr>
        <w:t>structure of mussel settlements (SEM ++). High negative PC1 values indicate the dominance of large, old mollusks within the settlements. This type of settlement structure was most pronounced at sites MAR_21, VES_21, VES_23, and OLA_23. High positive PC1 values characterize settlements dominated by small mollusks (NUK-1_23, MAM_23, BAT_23, ZHEM_23, TIKH_23).</w:t>
      </w:r>
    </w:p>
    <w:p w14:paraId="68B0C322">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Variation along PC2 reflects variability in mussel biomass and cover. Settlements characterized by high biomass but low cover exhibit high negative PC2 values. High positive PC2 values are typical </w:t>
      </w:r>
      <w:r>
        <w:rPr>
          <w:rFonts w:hint="default" w:ascii="Segoe UI" w:hAnsi="Segoe UI" w:eastAsia="Segoe UI" w:cs="Segoe UI"/>
          <w:i w:val="0"/>
          <w:iCs w:val="0"/>
          <w:caps w:val="0"/>
          <w:color w:val="0F1115"/>
          <w:spacing w:val="0"/>
          <w:sz w:val="19"/>
          <w:szCs w:val="19"/>
          <w:shd w:val="clear" w:fill="FFFFFF"/>
          <w:lang w:val="en-US"/>
        </w:rPr>
        <w:t>for</w:t>
      </w:r>
      <w:r>
        <w:rPr>
          <w:rFonts w:hint="default" w:ascii="Segoe UI" w:hAnsi="Segoe UI" w:eastAsia="Segoe UI" w:cs="Segoe UI"/>
          <w:i w:val="0"/>
          <w:iCs w:val="0"/>
          <w:caps w:val="0"/>
          <w:color w:val="0F1115"/>
          <w:spacing w:val="0"/>
          <w:sz w:val="19"/>
          <w:szCs w:val="19"/>
          <w:shd w:val="clear" w:fill="FFFFFF"/>
        </w:rPr>
        <w:t xml:space="preserve"> settlements with high cover but low biomass.</w:t>
      </w:r>
    </w:p>
    <w:p w14:paraId="601F5F29">
      <w:pPr>
        <w:rPr>
          <w:rFonts w:hint="default"/>
          <w:lang w:val="en-US"/>
        </w:rPr>
      </w:pPr>
    </w:p>
    <w:p w14:paraId="16530250">
      <w:pPr>
        <w:rPr>
          <w:rFonts w:hint="default"/>
          <w:lang w:val="en-US"/>
        </w:rPr>
      </w:pPr>
    </w:p>
    <w:p w14:paraId="75370E2E">
      <w:pPr>
        <w:rPr>
          <w:rFonts w:hint="default"/>
          <w:lang w:val="en-US"/>
        </w:rPr>
      </w:pPr>
      <w:r>
        <w:rPr>
          <w:rFonts w:hint="default"/>
          <w:lang w:val="en-US"/>
        </w:rPr>
        <w:t>BTN prevalence variation</w:t>
      </w:r>
    </w:p>
    <w:p w14:paraId="163D99E5">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 total of +++ individuals were examined, with sizes ranging from ++ to ++ mm (median ++). Among these, +++ infected individuals were found, with sizes varying from +++ to +++ mm (median +++). The frequencies of both transmissible cancer lineages (BTN1 and BTN2) ranged from 0 (no infected mollusks were found in ++ sites) to +++% (BTN1, site +++) and +++% (BTN2, site ++++). On average, the frequencies of BTN1 and BTN2 were similar, amounting to 2.07% and 2.04%, respectively.</w:t>
      </w:r>
    </w:p>
    <w:p w14:paraId="643A147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Analysis of the spatial distribution of </w:t>
      </w:r>
      <w:r>
        <w:rPr>
          <w:rFonts w:hint="default" w:ascii="Segoe UI" w:hAnsi="Segoe UI" w:eastAsia="Segoe UI" w:cs="Segoe UI"/>
          <w:i w:val="0"/>
          <w:iCs w:val="0"/>
          <w:caps w:val="0"/>
          <w:color w:val="0F1115"/>
          <w:spacing w:val="0"/>
          <w:sz w:val="19"/>
          <w:szCs w:val="19"/>
          <w:shd w:val="clear" w:fill="FFFFFF"/>
          <w:lang w:val="en-US"/>
        </w:rPr>
        <w:t>prevalence</w:t>
      </w:r>
      <w:r>
        <w:rPr>
          <w:rFonts w:hint="default" w:ascii="Segoe UI" w:hAnsi="Segoe UI" w:eastAsia="Segoe UI" w:cs="Segoe UI"/>
          <w:i w:val="0"/>
          <w:iCs w:val="0"/>
          <w:caps w:val="0"/>
          <w:color w:val="0F1115"/>
          <w:spacing w:val="0"/>
          <w:sz w:val="19"/>
          <w:szCs w:val="19"/>
          <w:shd w:val="clear" w:fill="FFFFFF"/>
        </w:rPr>
        <w:t xml:space="preserve"> revealed highly heterogeneous patterns for both BTN1 and BTN2 (Fig. ++). No significant correlation was detected between the frequencies of the two lineages (Spearman's R = 0.27, p = 0.208, n = 24).</w:t>
      </w:r>
    </w:p>
    <w:p w14:paraId="19D6954C">
      <w:pPr>
        <w:rPr>
          <w:rFonts w:hint="default"/>
          <w:lang w:val="en-US"/>
        </w:rPr>
      </w:pPr>
    </w:p>
    <w:p w14:paraId="37680BC7">
      <w:pPr>
        <w:rPr>
          <w:rFonts w:hint="default"/>
          <w:lang w:val="en-US"/>
        </w:rPr>
      </w:pPr>
      <w:r>
        <w:drawing>
          <wp:inline distT="0" distB="0" distL="114300" distR="114300">
            <wp:extent cx="5212080" cy="3257550"/>
            <wp:effectExtent l="0" t="0" r="0" b="38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5212080" cy="3257550"/>
                    </a:xfrm>
                    <a:prstGeom prst="rect">
                      <a:avLst/>
                    </a:prstGeom>
                    <a:noFill/>
                    <a:ln>
                      <a:noFill/>
                    </a:ln>
                  </pic:spPr>
                </pic:pic>
              </a:graphicData>
            </a:graphic>
          </wp:inline>
        </w:drawing>
      </w:r>
    </w:p>
    <w:p w14:paraId="458E8D76">
      <w:pPr>
        <w:rPr>
          <w:rFonts w:hint="default"/>
          <w:lang w:val="ru-RU"/>
        </w:rPr>
      </w:pPr>
      <w:r>
        <w:rPr>
          <w:rFonts w:hint="default"/>
          <w:lang w:val="en-US"/>
        </w:rPr>
        <w:t xml:space="preserve"> </w:t>
      </w:r>
    </w:p>
    <w:p w14:paraId="562C73DE">
      <w:pPr>
        <w:rPr>
          <w:rFonts w:hint="default"/>
          <w:lang w:val="ru-RU"/>
        </w:rPr>
      </w:pPr>
    </w:p>
    <w:p w14:paraId="1B9B12DD">
      <w:pPr>
        <w:rPr>
          <w:rFonts w:hint="default"/>
          <w:lang w:val="ru-RU"/>
        </w:rPr>
      </w:pPr>
    </w:p>
    <w:p w14:paraId="47AD7749">
      <w:pPr>
        <w:rPr>
          <w:rFonts w:hint="default"/>
          <w:b/>
          <w:bCs/>
          <w:lang w:val="en-US"/>
        </w:rPr>
      </w:pPr>
      <w:r>
        <w:rPr>
          <w:rFonts w:hint="default"/>
          <w:b/>
          <w:bCs/>
          <w:lang w:val="en-US"/>
        </w:rPr>
        <w:t>Dependence of BTN prevalences on predictors</w:t>
      </w:r>
    </w:p>
    <w:p w14:paraId="1A11B3F8">
      <w:pPr>
        <w:rPr>
          <w:rFonts w:hint="default"/>
          <w:lang w:val="en-US"/>
        </w:rPr>
      </w:pPr>
    </w:p>
    <w:p w14:paraId="5AD03827">
      <w:pPr>
        <w:rPr>
          <w:rFonts w:hint="default"/>
          <w:lang w:val="ru-RU"/>
        </w:rPr>
      </w:pPr>
      <w:r>
        <w:rPr>
          <w:rFonts w:ascii="Segoe UI" w:hAnsi="Segoe UI" w:eastAsia="Segoe UI" w:cs="Segoe UI"/>
          <w:i w:val="0"/>
          <w:iCs w:val="0"/>
          <w:caps w:val="0"/>
          <w:color w:val="0F1115"/>
          <w:spacing w:val="0"/>
          <w:sz w:val="19"/>
          <w:szCs w:val="19"/>
          <w:shd w:val="clear" w:fill="FFFFFF"/>
        </w:rPr>
        <w:t xml:space="preserve">Model 1 (Table ++) accounted for 72% of the deviance (adjusted R² = 0.67). Statistically significant associations were found only between BTN1 </w:t>
      </w:r>
      <w:r>
        <w:rPr>
          <w:rFonts w:hint="default" w:ascii="Segoe UI" w:hAnsi="Segoe UI" w:eastAsia="Segoe UI" w:cs="Segoe UI"/>
          <w:i w:val="0"/>
          <w:iCs w:val="0"/>
          <w:caps w:val="0"/>
          <w:color w:val="0F1115"/>
          <w:spacing w:val="0"/>
          <w:sz w:val="19"/>
          <w:szCs w:val="19"/>
          <w:shd w:val="clear" w:fill="FFFFFF"/>
          <w:lang w:val="en-US"/>
        </w:rPr>
        <w:t xml:space="preserve">prevalrnce </w:t>
      </w:r>
      <w:r>
        <w:rPr>
          <w:rFonts w:ascii="Segoe UI" w:hAnsi="Segoe UI" w:eastAsia="Segoe UI" w:cs="Segoe UI"/>
          <w:i w:val="0"/>
          <w:iCs w:val="0"/>
          <w:caps w:val="0"/>
          <w:color w:val="0F1115"/>
          <w:spacing w:val="0"/>
          <w:sz w:val="19"/>
          <w:szCs w:val="19"/>
          <w:shd w:val="clear" w:fill="FFFFFF"/>
        </w:rPr>
        <w:t xml:space="preserve">and distance to port (Dist_Port), wave exposure </w:t>
      </w:r>
      <w:r>
        <w:rPr>
          <w:rFonts w:hint="default" w:ascii="Segoe UI" w:hAnsi="Segoe UI" w:eastAsia="Segoe UI" w:cs="Segoe UI"/>
          <w:i w:val="0"/>
          <w:iCs w:val="0"/>
          <w:caps w:val="0"/>
          <w:color w:val="0F1115"/>
          <w:spacing w:val="0"/>
          <w:sz w:val="19"/>
          <w:szCs w:val="19"/>
          <w:shd w:val="clear" w:fill="FFFFFF"/>
          <w:lang w:val="en-US"/>
        </w:rPr>
        <w:t>level</w:t>
      </w:r>
      <w:r>
        <w:rPr>
          <w:rFonts w:ascii="Segoe UI" w:hAnsi="Segoe UI" w:eastAsia="Segoe UI" w:cs="Segoe UI"/>
          <w:i w:val="0"/>
          <w:iCs w:val="0"/>
          <w:caps w:val="0"/>
          <w:color w:val="0F1115"/>
          <w:spacing w:val="0"/>
          <w:sz w:val="19"/>
          <w:szCs w:val="19"/>
          <w:shd w:val="clear" w:fill="FFFFFF"/>
        </w:rPr>
        <w:t xml:space="preserve"> (Fetch), and the parameter characterizing the size structure of the mussel settlement (PC1). BTN2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was not associated with any of the</w:t>
      </w:r>
      <w:r>
        <w:rPr>
          <w:rFonts w:hint="default" w:ascii="Segoe UI" w:hAnsi="Segoe UI" w:eastAsia="Segoe UI" w:cs="Segoe UI"/>
          <w:i w:val="0"/>
          <w:iCs w:val="0"/>
          <w:caps w:val="0"/>
          <w:color w:val="0F1115"/>
          <w:spacing w:val="0"/>
          <w:sz w:val="19"/>
          <w:szCs w:val="19"/>
          <w:shd w:val="clear" w:fill="FFFFFF"/>
          <w:lang w:val="en-US"/>
        </w:rPr>
        <w:t>se</w:t>
      </w:r>
      <w:r>
        <w:rPr>
          <w:rFonts w:ascii="Segoe UI" w:hAnsi="Segoe UI" w:eastAsia="Segoe UI" w:cs="Segoe UI"/>
          <w:i w:val="0"/>
          <w:iCs w:val="0"/>
          <w:caps w:val="0"/>
          <w:color w:val="0F1115"/>
          <w:spacing w:val="0"/>
          <w:sz w:val="19"/>
          <w:szCs w:val="19"/>
          <w:shd w:val="clear" w:fill="FFFFFF"/>
        </w:rPr>
        <w:t xml:space="preserve"> predictors. Additionally, an association was detected between BTN2 frequency and the </w:t>
      </w:r>
      <w:r>
        <w:rPr>
          <w:rFonts w:hint="default" w:ascii="Segoe UI" w:hAnsi="Segoe UI" w:eastAsia="Segoe UI" w:cs="Segoe UI"/>
          <w:i w:val="0"/>
          <w:iCs w:val="0"/>
          <w:caps w:val="0"/>
          <w:color w:val="0F1115"/>
          <w:spacing w:val="0"/>
          <w:sz w:val="19"/>
          <w:szCs w:val="19"/>
          <w:shd w:val="clear" w:fill="FFFFFF"/>
          <w:lang w:val="en-US"/>
        </w:rPr>
        <w:t xml:space="preserve">group </w:t>
      </w:r>
      <w:r>
        <w:rPr>
          <w:rFonts w:ascii="Segoe UI" w:hAnsi="Segoe UI" w:eastAsia="Segoe UI" w:cs="Segoe UI"/>
          <w:i w:val="0"/>
          <w:iCs w:val="0"/>
          <w:caps w:val="0"/>
          <w:color w:val="0F1115"/>
          <w:spacing w:val="0"/>
          <w:sz w:val="19"/>
          <w:szCs w:val="19"/>
          <w:shd w:val="clear" w:fill="FFFFFF"/>
        </w:rPr>
        <w:t xml:space="preserve">growth </w:t>
      </w:r>
      <w:r>
        <w:rPr>
          <w:rFonts w:hint="default" w:ascii="Segoe UI" w:hAnsi="Segoe UI" w:eastAsia="Segoe UI" w:cs="Segoe UI"/>
          <w:i w:val="0"/>
          <w:iCs w:val="0"/>
          <w:caps w:val="0"/>
          <w:color w:val="0F1115"/>
          <w:spacing w:val="0"/>
          <w:sz w:val="19"/>
          <w:szCs w:val="19"/>
          <w:shd w:val="clear" w:fill="FFFFFF"/>
          <w:lang w:val="en-US"/>
        </w:rPr>
        <w:t xml:space="preserve">score </w:t>
      </w:r>
      <w:r>
        <w:rPr>
          <w:rFonts w:ascii="Segoe UI" w:hAnsi="Segoe UI" w:eastAsia="Segoe UI" w:cs="Segoe UI"/>
          <w:i w:val="0"/>
          <w:iCs w:val="0"/>
          <w:caps w:val="0"/>
          <w:color w:val="0F1115"/>
          <w:spacing w:val="0"/>
          <w:sz w:val="19"/>
          <w:szCs w:val="19"/>
          <w:shd w:val="clear" w:fill="FFFFFF"/>
        </w:rPr>
        <w:t>(OGP). The association between BTN1 and this predictor was marginally significant.</w:t>
      </w:r>
    </w:p>
    <w:p w14:paraId="1A55B26F">
      <w:pPr>
        <w:rPr>
          <w:rFonts w:hint="default"/>
          <w:lang w:val="en-US"/>
        </w:rPr>
      </w:pPr>
      <w:r>
        <w:rPr>
          <w:rFonts w:ascii="Segoe UI" w:hAnsi="Segoe UI" w:eastAsia="Segoe UI" w:cs="Segoe UI"/>
          <w:i w:val="0"/>
          <w:iCs w:val="0"/>
          <w:caps w:val="0"/>
          <w:color w:val="0F1115"/>
          <w:spacing w:val="0"/>
          <w:sz w:val="19"/>
          <w:szCs w:val="19"/>
          <w:shd w:val="clear" w:fill="FFFFFF"/>
        </w:rPr>
        <w:t xml:space="preserve">According to Model 1 (Fig. ++), BTN1 frequency increases linearly with increasing distance to port and increasing degree of coastal exposure. The relationship between BTN1 frequency and PC1 was nonlinear (edf = 2.0, Table ++). Model 1 predicts the highest BTN1 </w:t>
      </w:r>
      <w:r>
        <w:rPr>
          <w:rFonts w:hint="default" w:ascii="Segoe UI" w:hAnsi="Segoe UI" w:eastAsia="Segoe UI" w:cs="Segoe UI"/>
          <w:i w:val="0"/>
          <w:iCs w:val="0"/>
          <w:caps w:val="0"/>
          <w:color w:val="0F1115"/>
          <w:spacing w:val="0"/>
          <w:sz w:val="19"/>
          <w:szCs w:val="19"/>
          <w:shd w:val="clear" w:fill="FFFFFF"/>
          <w:lang w:val="en-US"/>
        </w:rPr>
        <w:t xml:space="preserve">prevalence </w:t>
      </w:r>
      <w:r>
        <w:rPr>
          <w:rFonts w:ascii="Segoe UI" w:hAnsi="Segoe UI" w:eastAsia="Segoe UI" w:cs="Segoe UI"/>
          <w:i w:val="0"/>
          <w:iCs w:val="0"/>
          <w:caps w:val="0"/>
          <w:color w:val="0F1115"/>
          <w:spacing w:val="0"/>
          <w:sz w:val="19"/>
          <w:szCs w:val="19"/>
          <w:shd w:val="clear" w:fill="FFFFFF"/>
        </w:rPr>
        <w:t xml:space="preserve">at the lowest PC1 values. The minimum BTN1 </w:t>
      </w:r>
      <w:r>
        <w:rPr>
          <w:rFonts w:hint="default" w:ascii="Segoe UI" w:hAnsi="Segoe UI" w:eastAsia="Segoe UI" w:cs="Segoe UI"/>
          <w:i w:val="0"/>
          <w:iCs w:val="0"/>
          <w:caps w:val="0"/>
          <w:color w:val="0F1115"/>
          <w:spacing w:val="0"/>
          <w:sz w:val="19"/>
          <w:szCs w:val="19"/>
          <w:shd w:val="clear" w:fill="FFFFFF"/>
          <w:lang w:val="en-US"/>
        </w:rPr>
        <w:t>prevalence</w:t>
      </w:r>
      <w:r>
        <w:rPr>
          <w:rFonts w:ascii="Segoe UI" w:hAnsi="Segoe UI" w:eastAsia="Segoe UI" w:cs="Segoe UI"/>
          <w:i w:val="0"/>
          <w:iCs w:val="0"/>
          <w:caps w:val="0"/>
          <w:color w:val="0F1115"/>
          <w:spacing w:val="0"/>
          <w:sz w:val="19"/>
          <w:szCs w:val="19"/>
          <w:shd w:val="clear" w:fill="FFFFFF"/>
        </w:rPr>
        <w:t xml:space="preserve"> predicted by Model 1 occurs at PC1 values close to zero. At high positive PC1 values, Model 1 predicts a slight increase in BTN1 frequency. Both lineages exhibit a near-linear positive relationship with OGP.</w:t>
      </w:r>
    </w:p>
    <w:p w14:paraId="01601E78"/>
    <w:p w14:paraId="43C9BAF1">
      <w:r>
        <w:drawing>
          <wp:inline distT="0" distB="0" distL="114300" distR="114300">
            <wp:extent cx="5274310" cy="3767455"/>
            <wp:effectExtent l="0" t="0" r="13970" b="1206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274310" cy="3767455"/>
                    </a:xfrm>
                    <a:prstGeom prst="rect">
                      <a:avLst/>
                    </a:prstGeom>
                    <a:noFill/>
                    <a:ln>
                      <a:noFill/>
                    </a:ln>
                  </pic:spPr>
                </pic:pic>
              </a:graphicData>
            </a:graphic>
          </wp:inline>
        </w:drawing>
      </w:r>
    </w:p>
    <w:p w14:paraId="2CC59522"/>
    <w:p w14:paraId="511669A0">
      <w:pPr>
        <w:rPr>
          <w:rFonts w:hint="default"/>
          <w:lang w:val="en-US"/>
        </w:rPr>
      </w:pPr>
      <w:r>
        <w:drawing>
          <wp:inline distT="0" distB="0" distL="114300" distR="114300">
            <wp:extent cx="5274310" cy="3767455"/>
            <wp:effectExtent l="0" t="0" r="13970" b="1206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5274310" cy="3767455"/>
                    </a:xfrm>
                    <a:prstGeom prst="rect">
                      <a:avLst/>
                    </a:prstGeom>
                    <a:noFill/>
                    <a:ln>
                      <a:noFill/>
                    </a:ln>
                  </pic:spPr>
                </pic:pic>
              </a:graphicData>
            </a:graphic>
          </wp:inline>
        </w:drawing>
      </w:r>
    </w:p>
    <w:p w14:paraId="3916AC74">
      <w:r>
        <w:drawing>
          <wp:inline distT="0" distB="0" distL="114300" distR="114300">
            <wp:extent cx="5274310" cy="3767455"/>
            <wp:effectExtent l="0" t="0" r="13970" b="1206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1"/>
                    <a:stretch>
                      <a:fillRect/>
                    </a:stretch>
                  </pic:blipFill>
                  <pic:spPr>
                    <a:xfrm>
                      <a:off x="0" y="0"/>
                      <a:ext cx="5274310" cy="3767455"/>
                    </a:xfrm>
                    <a:prstGeom prst="rect">
                      <a:avLst/>
                    </a:prstGeom>
                    <a:noFill/>
                    <a:ln>
                      <a:noFill/>
                    </a:ln>
                  </pic:spPr>
                </pic:pic>
              </a:graphicData>
            </a:graphic>
          </wp:inline>
        </w:drawing>
      </w:r>
    </w:p>
    <w:p w14:paraId="3CE70CD3"/>
    <w:p w14:paraId="0FA76050"/>
    <w:p w14:paraId="5E8D2DFD">
      <w:pPr>
        <w:rPr>
          <w:rFonts w:hint="default"/>
          <w:lang w:val="en-US"/>
        </w:rPr>
      </w:pPr>
    </w:p>
    <w:p w14:paraId="004B3429">
      <w:pPr>
        <w:rPr>
          <w:rFonts w:hint="default"/>
          <w:lang w:val="en-US"/>
        </w:rPr>
      </w:pPr>
    </w:p>
    <w:p w14:paraId="01E035BD">
      <w:pPr>
        <w:rPr>
          <w:rFonts w:hint="default"/>
          <w:b/>
          <w:bCs/>
          <w:lang w:val="en-US"/>
        </w:rPr>
      </w:pPr>
      <w:r>
        <w:rPr>
          <w:rFonts w:hint="default"/>
          <w:b/>
          <w:bCs/>
          <w:lang w:val="en-US"/>
        </w:rPr>
        <w:t>Effects of BTN infection on reproductive function of the host</w:t>
      </w:r>
    </w:p>
    <w:p w14:paraId="193C8EE6">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iCs/>
          <w:caps w:val="0"/>
          <w:color w:val="0F1115"/>
          <w:spacing w:val="0"/>
          <w:sz w:val="19"/>
          <w:szCs w:val="19"/>
        </w:rPr>
      </w:pPr>
      <w:r>
        <w:rPr>
          <w:rStyle w:val="29"/>
          <w:rFonts w:hint="default" w:ascii="Segoe UI" w:hAnsi="Segoe UI" w:eastAsia="Segoe UI" w:cs="Segoe UI"/>
          <w:b/>
          <w:bCs/>
          <w:i/>
          <w:iCs/>
          <w:caps w:val="0"/>
          <w:color w:val="0F1115"/>
          <w:spacing w:val="0"/>
          <w:sz w:val="19"/>
          <w:szCs w:val="19"/>
          <w:shd w:val="clear" w:fill="FFFFFF"/>
        </w:rPr>
        <w:t>Gamete production in healthy and infected mussels</w:t>
      </w:r>
    </w:p>
    <w:p w14:paraId="0137AC77">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lang w:val="en-US"/>
        </w:rPr>
        <w:t>Analysis</w:t>
      </w:r>
      <w:r>
        <w:rPr>
          <w:rFonts w:hint="default" w:ascii="Segoe UI" w:hAnsi="Segoe UI" w:eastAsia="Segoe UI" w:cs="Segoe UI"/>
          <w:i w:val="0"/>
          <w:iCs w:val="0"/>
          <w:caps w:val="0"/>
          <w:color w:val="0F1115"/>
          <w:spacing w:val="0"/>
          <w:sz w:val="19"/>
          <w:szCs w:val="19"/>
          <w:shd w:val="clear" w:fill="FFFFFF"/>
        </w:rPr>
        <w:t xml:space="preserve"> of gonad smears revealed no gametes in more than half of the infected mollusks (++% for BTN1, ++% for BTN2, Fig. +++). Among healthy individuals, the frequency of mussels with no detectable gametes was markedly lower (+++%).</w:t>
      </w:r>
    </w:p>
    <w:p w14:paraId="6CDD306A">
      <w:pPr>
        <w:rPr>
          <w:rFonts w:hint="default"/>
          <w:lang w:val="ru-RU"/>
        </w:rPr>
      </w:pPr>
    </w:p>
    <w:p w14:paraId="315E66D1">
      <w:pPr>
        <w:rPr>
          <w:rFonts w:hint="default"/>
          <w:lang w:val="ru-RU"/>
        </w:rPr>
      </w:pPr>
    </w:p>
    <w:p w14:paraId="542A9B3D">
      <w:pPr>
        <w:rPr>
          <w:rFonts w:hint="default"/>
          <w:lang w:val="en-US"/>
        </w:rPr>
      </w:pPr>
    </w:p>
    <w:p w14:paraId="4977C7B0">
      <w:r>
        <w:drawing>
          <wp:inline distT="0" distB="0" distL="114300" distR="114300">
            <wp:extent cx="5266690" cy="2633345"/>
            <wp:effectExtent l="0" t="0" r="6350" b="317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2"/>
                    <a:stretch>
                      <a:fillRect/>
                    </a:stretch>
                  </pic:blipFill>
                  <pic:spPr>
                    <a:xfrm>
                      <a:off x="0" y="0"/>
                      <a:ext cx="5266690" cy="2633345"/>
                    </a:xfrm>
                    <a:prstGeom prst="rect">
                      <a:avLst/>
                    </a:prstGeom>
                    <a:noFill/>
                    <a:ln>
                      <a:noFill/>
                    </a:ln>
                  </pic:spPr>
                </pic:pic>
              </a:graphicData>
            </a:graphic>
          </wp:inline>
        </w:drawing>
      </w:r>
    </w:p>
    <w:p w14:paraId="0F9EA280"/>
    <w:p w14:paraId="6998F882"/>
    <w:p w14:paraId="38B15D7D">
      <w:pPr>
        <w:pStyle w:val="90"/>
        <w:keepNext w:val="0"/>
        <w:keepLines w:val="0"/>
        <w:widowControl/>
        <w:suppressLineNumbers w:val="0"/>
        <w:spacing w:before="192" w:beforeAutospacing="0" w:after="192" w:afterAutospacing="0" w:line="336" w:lineRule="atLeast"/>
        <w:ind w:left="0" w:right="0"/>
        <w:rPr>
          <w:i/>
          <w:iCs/>
        </w:rPr>
      </w:pPr>
      <w:r>
        <w:rPr>
          <w:rStyle w:val="29"/>
          <w:rFonts w:ascii="Segoe UI" w:hAnsi="Segoe UI" w:eastAsia="Segoe UI" w:cs="Segoe UI"/>
          <w:b/>
          <w:bCs/>
          <w:i/>
          <w:iCs/>
          <w:caps w:val="0"/>
          <w:color w:val="0F1115"/>
          <w:spacing w:val="0"/>
          <w:sz w:val="19"/>
          <w:szCs w:val="19"/>
          <w:shd w:val="clear" w:fill="FFFFFF"/>
        </w:rPr>
        <w:t>Relationship between gonad acinus size and the abundance of aneuploid cells in the hemolymph of two BTN lineages</w:t>
      </w:r>
    </w:p>
    <w:p w14:paraId="583B6617">
      <w:pPr>
        <w:pStyle w:val="90"/>
        <w:keepNext w:val="0"/>
        <w:keepLines w:val="0"/>
        <w:widowControl/>
        <w:suppressLineNumbers w:val="0"/>
        <w:spacing w:before="192" w:beforeAutospacing="0" w:after="192" w:afterAutospacing="0" w:line="336" w:lineRule="atLeast"/>
        <w:ind w:left="0" w:right="0"/>
      </w:pPr>
      <w:r>
        <w:rPr>
          <w:rFonts w:hint="default" w:ascii="Segoe UI" w:hAnsi="Segoe UI" w:eastAsia="Segoe UI" w:cs="Segoe UI"/>
          <w:i w:val="0"/>
          <w:iCs w:val="0"/>
          <w:caps w:val="0"/>
          <w:color w:val="0F1115"/>
          <w:spacing w:val="0"/>
          <w:sz w:val="19"/>
          <w:szCs w:val="19"/>
          <w:shd w:val="clear" w:fill="FFFFFF"/>
        </w:rPr>
        <w:t>According to Model 2 (Table +++), a statistically significant interaction exists between the proportion of aneuploid cells in the hemolymph and the BTN lineage. This indicates a different</w:t>
      </w:r>
      <w:r>
        <w:rPr>
          <w:rFonts w:hint="default" w:ascii="Segoe UI" w:hAnsi="Segoe UI" w:eastAsia="Segoe UI" w:cs="Segoe UI"/>
          <w:i w:val="0"/>
          <w:iCs w:val="0"/>
          <w:caps w:val="0"/>
          <w:color w:val="0F1115"/>
          <w:spacing w:val="0"/>
          <w:sz w:val="19"/>
          <w:szCs w:val="19"/>
          <w:shd w:val="clear" w:fill="FFFFFF"/>
          <w:lang w:val="en-US"/>
        </w:rPr>
        <w:t xml:space="preserve">, lineage-specific </w:t>
      </w:r>
      <w:r>
        <w:rPr>
          <w:rFonts w:hint="default" w:ascii="Segoe UI" w:hAnsi="Segoe UI" w:eastAsia="Segoe UI" w:cs="Segoe UI"/>
          <w:i w:val="0"/>
          <w:iCs w:val="0"/>
          <w:caps w:val="0"/>
          <w:color w:val="0F1115"/>
          <w:spacing w:val="0"/>
          <w:sz w:val="19"/>
          <w:szCs w:val="19"/>
          <w:shd w:val="clear" w:fill="FFFFFF"/>
        </w:rPr>
        <w:t xml:space="preserve">pattern in the relationship between acinus size and disease progression, as characterized by the proportion of aneuploid cells in the hemolymph (Fig. ++). According to Model 2, acinus size in mussels infected with BTN2 remains low at all stages of disease progression (i.e., across all values of aneuploid cell abundance in the hemolymph). A different pattern is observed in mussels infected with BTN1. At early stages of the disease (less than 50% aneuploid cells in the hemolymph), the mean acinus size does not differ significantly from that of healthy mussels. At later stages (proportion of aneuploid cells exceeding 50%), acinus sizes decrease, becoming </w:t>
      </w:r>
      <w:r>
        <w:rPr>
          <w:rFonts w:hint="default" w:ascii="Segoe UI" w:hAnsi="Segoe UI" w:eastAsia="Segoe UI" w:cs="Segoe UI"/>
          <w:i w:val="0"/>
          <w:iCs w:val="0"/>
          <w:caps w:val="0"/>
          <w:color w:val="0F1115"/>
          <w:spacing w:val="0"/>
          <w:sz w:val="19"/>
          <w:szCs w:val="19"/>
          <w:shd w:val="clear" w:fill="FFFFFF"/>
          <w:lang w:val="en-US"/>
        </w:rPr>
        <w:t xml:space="preserve">significantly </w:t>
      </w:r>
      <w:r>
        <w:rPr>
          <w:rFonts w:hint="default" w:ascii="Segoe UI" w:hAnsi="Segoe UI" w:eastAsia="Segoe UI" w:cs="Segoe UI"/>
          <w:i w:val="0"/>
          <w:iCs w:val="0"/>
          <w:caps w:val="0"/>
          <w:color w:val="0F1115"/>
          <w:spacing w:val="0"/>
          <w:sz w:val="19"/>
          <w:szCs w:val="19"/>
          <w:shd w:val="clear" w:fill="FFFFFF"/>
        </w:rPr>
        <w:t>smaller than the mean values observed in healthy mollusks.</w:t>
      </w:r>
    </w:p>
    <w:p w14:paraId="1C7F6EC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p>
    <w:p w14:paraId="59AE89CF">
      <w:pPr>
        <w:rPr>
          <w:rFonts w:hint="default"/>
          <w:lang w:val="ru-RU"/>
        </w:rPr>
      </w:pPr>
      <w:r>
        <w:drawing>
          <wp:inline distT="0" distB="0" distL="114300" distR="114300">
            <wp:extent cx="5267325" cy="3304540"/>
            <wp:effectExtent l="0" t="0" r="5715" b="254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3"/>
                    <a:stretch>
                      <a:fillRect/>
                    </a:stretch>
                  </pic:blipFill>
                  <pic:spPr>
                    <a:xfrm>
                      <a:off x="0" y="0"/>
                      <a:ext cx="5267325" cy="3304540"/>
                    </a:xfrm>
                    <a:prstGeom prst="rect">
                      <a:avLst/>
                    </a:prstGeom>
                    <a:noFill/>
                    <a:ln>
                      <a:noFill/>
                    </a:ln>
                  </pic:spPr>
                </pic:pic>
              </a:graphicData>
            </a:graphic>
          </wp:inline>
        </w:drawing>
      </w:r>
    </w:p>
    <w:p w14:paraId="28BE7E34">
      <w:pPr>
        <w:rPr>
          <w:rFonts w:hint="default"/>
          <w:b/>
          <w:bCs/>
          <w:lang w:val="ru-RU"/>
        </w:rPr>
      </w:pPr>
    </w:p>
    <w:p w14:paraId="5F8BAC32">
      <w:pPr>
        <w:rPr>
          <w:rFonts w:hint="default"/>
          <w:b/>
          <w:bCs/>
          <w:lang w:val="ru-RU"/>
        </w:rPr>
      </w:pPr>
    </w:p>
    <w:p w14:paraId="6E906FC6">
      <w:pPr>
        <w:rPr>
          <w:rFonts w:hint="default"/>
          <w:b/>
          <w:bCs/>
          <w:lang w:val="ru-RU"/>
        </w:rPr>
      </w:pPr>
    </w:p>
    <w:p w14:paraId="5E409685">
      <w:pPr>
        <w:rPr>
          <w:rFonts w:hint="default"/>
          <w:b/>
          <w:bCs/>
          <w:lang w:val="ru-RU"/>
        </w:rPr>
      </w:pPr>
    </w:p>
    <w:p w14:paraId="57D07603">
      <w:pPr>
        <w:rPr>
          <w:rFonts w:hint="default"/>
          <w:b/>
          <w:bCs/>
          <w:lang w:val="ru-RU"/>
        </w:rPr>
      </w:pPr>
      <w:r>
        <w:rPr>
          <w:rFonts w:hint="default"/>
          <w:b/>
          <w:bCs/>
          <w:lang w:val="ru-RU"/>
        </w:rPr>
        <w:t>Effect of BTN on mollusk growth</w:t>
      </w:r>
    </w:p>
    <w:p w14:paraId="4D741B90">
      <w:pPr>
        <w:pStyle w:val="90"/>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Analysis of raw data (Fig. ++) revealed that mussels infected with BTN2 exhibited a slightly higher last-year growth increment compared to both BTN1-infected and healthy individuals. The distribution of growth increment values was similar between the latter two groups.</w:t>
      </w:r>
    </w:p>
    <w:p w14:paraId="4724A490">
      <w:pPr>
        <w:pStyle w:val="90"/>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Last-year growth increment was statistically significantly associated with mussel size, which was included as a covariate in Model 3. After accounting for the effect of this covariate, a significant relationship between growth increment and the factor BTN_Type was detected. Analysis of adjusted mean growth increment values for each level of this factor (Fig. ++) showed that the mean increment for BTN2-infected mussels was significantly higher than that for BTN1-infected and healthy mussels. No statistically significant differences were found between the latter two groups.</w:t>
      </w:r>
    </w:p>
    <w:p w14:paraId="3B7EFC81">
      <w:pPr>
        <w:rPr>
          <w:rFonts w:hint="default"/>
          <w:b w:val="0"/>
          <w:bCs w:val="0"/>
          <w:lang w:val="ru-RU"/>
        </w:rPr>
      </w:pPr>
    </w:p>
    <w:p w14:paraId="2E8CDBC4">
      <w:pPr>
        <w:rPr>
          <w:rFonts w:hint="default"/>
          <w:b w:val="0"/>
          <w:bCs w:val="0"/>
          <w:lang w:val="ru-RU"/>
        </w:rPr>
      </w:pPr>
    </w:p>
    <w:p w14:paraId="09C9F032">
      <w:pPr>
        <w:rPr>
          <w:rFonts w:hint="default"/>
          <w:b w:val="0"/>
          <w:bCs w:val="0"/>
          <w:lang w:val="ru-RU"/>
        </w:rPr>
      </w:pPr>
    </w:p>
    <w:p w14:paraId="2BDCE42B">
      <w:pPr>
        <w:rPr>
          <w:rFonts w:hint="default"/>
          <w:b w:val="0"/>
          <w:bCs w:val="0"/>
          <w:lang w:val="ru-RU"/>
        </w:rPr>
      </w:pPr>
    </w:p>
    <w:p w14:paraId="55F0722C">
      <w:pPr>
        <w:rPr>
          <w:lang w:val="en-US"/>
        </w:rPr>
      </w:pPr>
      <w:r>
        <w:drawing>
          <wp:inline distT="0" distB="0" distL="114300" distR="114300">
            <wp:extent cx="5266690" cy="3160395"/>
            <wp:effectExtent l="0" t="0" r="6350" b="952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4"/>
                    <a:stretch>
                      <a:fillRect/>
                    </a:stretch>
                  </pic:blipFill>
                  <pic:spPr>
                    <a:xfrm>
                      <a:off x="0" y="0"/>
                      <a:ext cx="5266690" cy="3160395"/>
                    </a:xfrm>
                    <a:prstGeom prst="rect">
                      <a:avLst/>
                    </a:prstGeom>
                    <a:noFill/>
                    <a:ln>
                      <a:noFill/>
                    </a:ln>
                  </pic:spPr>
                </pic:pic>
              </a:graphicData>
            </a:graphic>
          </wp:inline>
        </w:drawing>
      </w:r>
      <w:bookmarkStart w:id="0" w:name="_GoBack"/>
      <w:bookmarkEnd w:id="0"/>
    </w:p>
    <w:p w14:paraId="29D139CF">
      <w:pPr>
        <w:rPr>
          <w:lang w:val="en-US"/>
        </w:rPr>
      </w:pPr>
    </w:p>
    <w:p w14:paraId="4DEED557">
      <w:pPr>
        <w:rPr>
          <w:lang w:val="en-US"/>
        </w:rPr>
      </w:pPr>
    </w:p>
    <w:sectPr>
      <w:pgSz w:w="11906" w:h="16838"/>
      <w:pgMar w:top="1440" w:right="1800" w:bottom="1440" w:left="1800" w:header="720" w:footer="720" w:gutter="0"/>
      <w:cols w:space="0" w:num="1"/>
      <w:rtlGutter w:val="0"/>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5125980" w:date="2026-05-07T10:34:03Z" w:initials="">
    <w:p w14:paraId="6603885F">
      <w:pPr>
        <w:pStyle w:val="43"/>
        <w:rPr>
          <w:rFonts w:hint="default"/>
          <w:lang w:val="ru-RU"/>
        </w:rPr>
      </w:pPr>
      <w:r>
        <w:rPr>
          <w:rFonts w:hint="default"/>
          <w:lang w:val="ru-RU"/>
        </w:rPr>
        <w:t>По мне так лишний кусок.</w:t>
      </w:r>
    </w:p>
  </w:comment>
  <w:comment w:id="1" w:author="WPS_1775125980" w:date="2026-05-07T10:36:15Z" w:initials="">
    <w:p w14:paraId="1DDA3CE0">
      <w:pPr>
        <w:pStyle w:val="43"/>
        <w:rPr>
          <w:rFonts w:hint="default"/>
          <w:lang w:val="ru-RU"/>
        </w:rPr>
      </w:pPr>
      <w:r>
        <w:rPr>
          <w:lang w:val="ru-RU"/>
        </w:rPr>
        <w:t>Пеерчислить</w:t>
      </w:r>
      <w:r>
        <w:rPr>
          <w:rFonts w:hint="default"/>
          <w:lang w:val="ru-RU"/>
        </w:rPr>
        <w:t xml:space="preserve"> агентов. Прионы, Вирусы, паразитические бактрии, протисты, грибы,  растения, животные</w:t>
      </w:r>
    </w:p>
  </w:comment>
  <w:comment w:id="2" w:author="WPS_1775125980" w:date="2026-05-07T10:43:16Z" w:initials="">
    <w:p w14:paraId="0484DA24">
      <w:pPr>
        <w:pStyle w:val="43"/>
        <w:rPr>
          <w:rFonts w:hint="default"/>
          <w:lang w:val="ru-RU"/>
        </w:rPr>
      </w:pPr>
      <w:r>
        <w:rPr>
          <w:rFonts w:hint="default"/>
          <w:lang w:val="ru-RU"/>
        </w:rPr>
        <w:t xml:space="preserve">Надо добавить несколько слов, чтобы этот кусок не смотрелся чужеродно. </w:t>
      </w:r>
    </w:p>
  </w:comment>
  <w:comment w:id="3" w:author="WPS_1775125980" w:date="2026-05-07T10:44:54Z" w:initials="">
    <w:p w14:paraId="14B2D69C">
      <w:pPr>
        <w:pStyle w:val="43"/>
        <w:rPr>
          <w:rFonts w:hint="default"/>
          <w:lang w:val="ru-RU"/>
        </w:rPr>
      </w:pPr>
      <w:r>
        <w:rPr>
          <w:lang w:val="ru-RU"/>
        </w:rPr>
        <w:t>Ссылка</w:t>
      </w:r>
      <w:r>
        <w:rPr>
          <w:rFonts w:hint="default"/>
          <w:lang w:val="ru-RU"/>
        </w:rPr>
        <w:t>!</w:t>
      </w:r>
    </w:p>
  </w:comment>
  <w:comment w:id="4" w:author="WPS_1775125980" w:date="2026-05-07T10:47:17Z" w:initials="">
    <w:p w14:paraId="0F2EA732">
      <w:pPr>
        <w:pStyle w:val="43"/>
        <w:rPr>
          <w:rFonts w:hint="default"/>
          <w:lang w:val="ru-RU"/>
        </w:rPr>
      </w:pPr>
      <w:r>
        <w:rPr>
          <w:lang w:val="ru-RU"/>
        </w:rPr>
        <w:t>Лучше</w:t>
      </w:r>
      <w:r>
        <w:rPr>
          <w:rFonts w:hint="default"/>
          <w:lang w:val="ru-RU"/>
        </w:rPr>
        <w:t xml:space="preserve"> бы это не светить во введении, про большую эврибионтность </w:t>
      </w:r>
      <w:r>
        <w:rPr>
          <w:rFonts w:hint="default"/>
          <w:lang w:val="en-US"/>
        </w:rPr>
        <w:t>BTN2</w:t>
      </w:r>
      <w:r>
        <w:rPr>
          <w:rFonts w:hint="default"/>
          <w:lang w:val="ru-RU"/>
        </w:rPr>
        <w:t xml:space="preserve">. Это лучше сформклировать в обсуждении.. </w:t>
      </w:r>
    </w:p>
  </w:comment>
  <w:comment w:id="5" w:author="WPS_1775125980" w:date="2026-05-07T10:59:43Z" w:initials="">
    <w:p w14:paraId="214FF1BB">
      <w:pPr>
        <w:pStyle w:val="43"/>
        <w:rPr>
          <w:rFonts w:hint="default"/>
          <w:lang w:val="ru-RU"/>
        </w:rPr>
      </w:pPr>
      <w:r>
        <w:rPr>
          <w:lang w:val="ru-RU"/>
        </w:rPr>
        <w:t>Для</w:t>
      </w:r>
      <w:r>
        <w:rPr>
          <w:rFonts w:hint="default"/>
          <w:lang w:val="ru-RU"/>
        </w:rPr>
        <w:t xml:space="preserve"> обсуждения. Может в Европе так мало </w:t>
      </w:r>
      <w:r>
        <w:rPr>
          <w:rFonts w:hint="default"/>
          <w:lang w:val="en-US"/>
        </w:rPr>
        <w:t>BTN</w:t>
      </w:r>
      <w:r>
        <w:rPr>
          <w:rFonts w:hint="default"/>
          <w:lang w:val="ru-RU"/>
        </w:rPr>
        <w:t xml:space="preserve"> потому, что мало </w:t>
      </w:r>
      <w:r>
        <w:rPr>
          <w:rFonts w:hint="default"/>
          <w:lang w:val="en-US"/>
        </w:rPr>
        <w:t xml:space="preserve">M.trossulus? </w:t>
      </w:r>
      <w:r>
        <w:rPr>
          <w:rFonts w:hint="default"/>
          <w:lang w:val="ru-RU"/>
        </w:rPr>
        <w:t xml:space="preserve">В Магадане живут троссулусы, может именно поэтому преваленс на порядок выше. </w:t>
      </w:r>
    </w:p>
  </w:comment>
  <w:comment w:id="6" w:author="Стрелков Петр Петрович" w:date="2026-04-15T15:05:00Z" w:initials="СПП">
    <w:p w14:paraId="17F11DB2">
      <w:r>
        <w:rPr>
          <w:rFonts w:ascii="Times New Roman" w:hAnsi="Times New Roman" w:cs="Times New Roman"/>
          <w:color w:val="FF0000"/>
          <w:sz w:val="24"/>
          <w:szCs w:val="24"/>
        </w:rPr>
        <w:t xml:space="preserve">Хайтов! Там были потуги на </w:t>
      </w:r>
      <w:r>
        <w:rPr>
          <w:rFonts w:ascii="Times New Roman" w:hAnsi="Times New Roman" w:cs="Times New Roman"/>
          <w:color w:val="FF0000"/>
          <w:sz w:val="24"/>
          <w:szCs w:val="24"/>
          <w:lang w:val="en-US"/>
        </w:rPr>
        <w:t>multifactorial</w:t>
      </w:r>
      <w:r>
        <w:rPr>
          <w:rFonts w:ascii="Times New Roman" w:hAnsi="Times New Roman" w:cs="Times New Roman"/>
          <w:color w:val="FF0000"/>
          <w:sz w:val="24"/>
          <w:szCs w:val="24"/>
        </w:rPr>
        <w:t xml:space="preserve"> </w:t>
      </w:r>
      <w:r>
        <w:rPr>
          <w:rFonts w:ascii="Times New Roman" w:hAnsi="Times New Roman" w:cs="Times New Roman"/>
          <w:color w:val="FF0000"/>
          <w:sz w:val="24"/>
          <w:szCs w:val="24"/>
          <w:lang w:val="en-US"/>
        </w:rPr>
        <w:t>analysis</w:t>
      </w:r>
      <w:r>
        <w:rPr>
          <w:rFonts w:ascii="Times New Roman" w:hAnsi="Times New Roman" w:cs="Times New Roman"/>
          <w:color w:val="FF0000"/>
          <w:sz w:val="24"/>
          <w:szCs w:val="24"/>
        </w:rPr>
        <w:t>, подумай стоит ли перефразировать в терминах сходных с твоими моделями. Еще про эту статью нельзя забыть в обсуждении из-за базара про:</w:t>
      </w:r>
    </w:p>
    <w:p w14:paraId="180CF056">
      <w:pPr>
        <w:pStyle w:val="43"/>
        <w:rPr>
          <w:lang w:val="en-US"/>
        </w:rPr>
      </w:pPr>
      <w:r>
        <w:rPr>
          <w:lang w:val="en-US"/>
        </w:rPr>
        <w:t>«</w:t>
      </w:r>
      <w:r>
        <w:rPr>
          <w:bCs/>
          <w:color w:val="1B1B1B"/>
          <w:sz w:val="26"/>
          <w:szCs w:val="26"/>
          <w:lang w:val="en-US"/>
        </w:rPr>
        <w:t>Under the hypothesis that natural propagation is hindered by density troughs between population patches</w:t>
      </w:r>
      <w:r>
        <w:rPr>
          <w:lang w:val="en-US"/>
        </w:rPr>
        <w:t xml:space="preserve"> … ports and ship traffic would create anthropogenic gateways that favour connections between patches of host populations. This hypothesis could also suggest that BTNs spread naturally and progressively from one host to another by close contact rather than drifting with the currents …». (</w:t>
      </w:r>
      <w:r>
        <w:t>Проблема</w:t>
      </w:r>
      <w:r>
        <w:rPr>
          <w:lang w:val="en-US"/>
        </w:rPr>
        <w:t xml:space="preserve"> </w:t>
      </w:r>
      <w:r>
        <w:t>безраковой</w:t>
      </w:r>
      <w:r>
        <w:rPr>
          <w:lang w:val="en-US"/>
        </w:rPr>
        <w:t xml:space="preserve"> </w:t>
      </w:r>
      <w:r>
        <w:t>Армани</w:t>
      </w:r>
      <w:r>
        <w:rPr>
          <w:lang w:val="en-US"/>
        </w:rPr>
        <w:t>)</w:t>
      </w:r>
    </w:p>
    <w:p w14:paraId="436CCF56">
      <w:pPr>
        <w:pStyle w:val="43"/>
        <w:rPr>
          <w:lang w:val="en-US"/>
        </w:rPr>
      </w:pPr>
    </w:p>
    <w:p w14:paraId="405AE3A5">
      <w:pPr>
        <w:pStyle w:val="43"/>
        <w:rPr>
          <w:lang w:val="en-US"/>
        </w:rPr>
      </w:pPr>
      <w:r>
        <w:rPr>
          <w:lang w:val="en-US"/>
        </w:rPr>
        <w:t>«It would also be interesting to investigate whether prevalence hotspots are more commonly located in areas with particular environmental conditions, or whether they are stochastic local outbreaks.»</w:t>
      </w:r>
    </w:p>
    <w:p w14:paraId="12734441">
      <w:pPr>
        <w:pStyle w:val="43"/>
        <w:rPr>
          <w:lang w:val="en-US"/>
        </w:rPr>
      </w:pPr>
    </w:p>
  </w:comment>
  <w:comment w:id="7" w:author="Стрелков Петр Петрович" w:date="2026-04-15T17:55:00Z" w:initials="СПП">
    <w:p w14:paraId="22CE6217">
      <w:pPr>
        <w:rPr>
          <w:lang w:val="en-US"/>
        </w:rPr>
      </w:pPr>
      <w:r>
        <w:t xml:space="preserve">О поллюции из </w:t>
      </w:r>
      <w:r>
        <w:rPr>
          <w:lang w:val="en-US"/>
        </w:rPr>
        <w:t>B</w:t>
      </w:r>
      <w:r>
        <w:t>.</w:t>
      </w:r>
      <w:r>
        <w:rPr>
          <w:lang w:val="en-US"/>
        </w:rPr>
        <w:t>J</w:t>
      </w:r>
      <w:r>
        <w:t xml:space="preserve">. </w:t>
      </w:r>
      <w:r>
        <w:rPr>
          <w:lang w:val="en-US"/>
        </w:rPr>
        <w:t>Barber</w:t>
      </w:r>
      <w:r>
        <w:t xml:space="preserve">: </w:t>
      </w:r>
      <w:r>
        <w:rPr>
          <w:lang w:val="en-US"/>
        </w:rPr>
        <w:t>Aquat</w:t>
      </w:r>
      <w:r>
        <w:t xml:space="preserve">. </w:t>
      </w:r>
      <w:r>
        <w:rPr>
          <w:lang w:val="en-US"/>
        </w:rPr>
        <w:t>Living Resour. 17, 449–466 (2004) 457:</w:t>
      </w:r>
    </w:p>
    <w:p w14:paraId="6295C8D2">
      <w:pPr>
        <w:rPr>
          <w:lang w:val="en-US"/>
        </w:rPr>
      </w:pPr>
      <w:r>
        <w:rPr>
          <w:lang w:val="en-US"/>
        </w:rPr>
        <w:t>A review of the association of cancerous diseases in aquatic animals and environmental pollutants concluded that there was little evidence supporting a “pollution” etiology for neoplasia (Mix 1986). It was found that most studies were of insufficient size or scope to address the issue and others lacked reliable chemical data. (</w:t>
      </w:r>
      <w:r>
        <w:rPr>
          <w:color w:val="FF0000"/>
          <w:lang w:val="en-US"/>
        </w:rPr>
        <w:t>Mix M.C., 1986, Cancerous diseases in aquatic animals and their association with environmental pollutants: A critical literature review. Mar. Environ. Res. 20, 1-141.</w:t>
      </w:r>
      <w:r>
        <w:rPr>
          <w:lang w:val="en-US"/>
        </w:rPr>
        <w:t>)</w:t>
      </w:r>
    </w:p>
    <w:p w14:paraId="27461089">
      <w:pPr>
        <w:rPr>
          <w:i/>
          <w:color w:val="FF0000"/>
          <w:lang w:val="en-US"/>
        </w:rPr>
      </w:pPr>
      <w:r>
        <w:rPr>
          <w:i/>
          <w:color w:val="FF0000"/>
          <w:lang w:val="en-US"/>
        </w:rPr>
        <w:t>In summary, there is little if any relationship between prevalence of disseminated neoplasia and environmental carcinogens, biotoxins, or other forms of physiological stress.</w:t>
      </w:r>
    </w:p>
    <w:p w14:paraId="6EACF712">
      <w:pPr>
        <w:pStyle w:val="43"/>
        <w:rPr>
          <w:lang w:val="en-US"/>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03885F" w15:done="0"/>
  <w15:commentEx w15:paraId="1DDA3CE0" w15:done="0"/>
  <w15:commentEx w15:paraId="0484DA24" w15:done="0"/>
  <w15:commentEx w15:paraId="14B2D69C" w15:done="0"/>
  <w15:commentEx w15:paraId="0F2EA732" w15:done="0"/>
  <w15:commentEx w15:paraId="214FF1BB" w15:done="0"/>
  <w15:commentEx w15:paraId="12734441" w15:done="0"/>
  <w15:commentEx w15:paraId="6EACF71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75125980">
    <w15:presenceInfo w15:providerId="WPS Office" w15:userId="724545435188"/>
  </w15:person>
  <w15:person w15:author="Стрелков Петр Петрович">
    <w15:presenceInfo w15:providerId="AD" w15:userId="S-1-5-21-1625984058-1322545667-1880170995-33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34115"/>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1334115"/>
    <w:rsid w:val="088005EC"/>
    <w:rsid w:val="09C2553B"/>
    <w:rsid w:val="13A260BC"/>
    <w:rsid w:val="391B30B1"/>
    <w:rsid w:val="3A0A08C7"/>
    <w:rsid w:val="3A5B4A05"/>
    <w:rsid w:val="3D2E204C"/>
    <w:rsid w:val="4B32292F"/>
    <w:rsid w:val="4DC82D45"/>
    <w:rsid w:val="50225E22"/>
    <w:rsid w:val="552E3A44"/>
    <w:rsid w:val="571A361F"/>
    <w:rsid w:val="6A8F5933"/>
    <w:rsid w:val="71511E5F"/>
    <w:rsid w:val="719F7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152"/>
    <w:qFormat/>
    <w:uiPriority w:val="0"/>
    <w:pPr>
      <w:spacing w:before="0" w:after="140" w:line="276" w:lineRule="auto"/>
      <w:jc w:val="both"/>
    </w:pPr>
    <w:rPr>
      <w:rFonts w:ascii="Arial" w:hAnsi="Arial" w:eastAsia="NSimSun" w:cs="Lucida Sans"/>
      <w:color w:val="auto"/>
      <w:kern w:val="2"/>
      <w:szCs w:val="24"/>
      <w:lang w:val="ru-RU" w:bidi="hi-IN"/>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qFormat/>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qFormat/>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qFormat/>
    <w:uiPriority w:val="0"/>
    <w:pPr>
      <w:jc w:val="left"/>
    </w:pPr>
  </w:style>
  <w:style w:type="paragraph" w:styleId="44">
    <w:name w:val="index 1"/>
    <w:basedOn w:val="1"/>
    <w:next w:val="1"/>
    <w:qFormat/>
    <w:uiPriority w:val="0"/>
  </w:style>
  <w:style w:type="paragraph" w:styleId="45">
    <w:name w:val="annotation subject"/>
    <w:basedOn w:val="43"/>
    <w:next w:val="43"/>
    <w:qFormat/>
    <w:uiPriority w:val="0"/>
    <w:rPr>
      <w:b/>
      <w:bCs/>
    </w:rPr>
  </w:style>
  <w:style w:type="paragraph" w:styleId="46">
    <w:name w:val="Document Map"/>
    <w:basedOn w:val="1"/>
    <w:qFormat/>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qFormat/>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uiPriority w:val="0"/>
    <w:pPr>
      <w:ind w:left="1600" w:leftChars="1600"/>
    </w:pPr>
  </w:style>
  <w:style w:type="paragraph" w:styleId="63">
    <w:name w:val="List Number 4"/>
    <w:basedOn w:val="1"/>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uiPriority w:val="0"/>
    <w:pPr>
      <w:ind w:firstLine="210"/>
    </w:pPr>
  </w:style>
  <w:style w:type="paragraph" w:styleId="80">
    <w:name w:val="Body Text Indent"/>
    <w:basedOn w:val="1"/>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uiPriority w:val="0"/>
    <w:pPr>
      <w:ind w:left="360" w:hanging="360"/>
    </w:pPr>
  </w:style>
  <w:style w:type="paragraph" w:styleId="90">
    <w:name w:val="Normal (Web)"/>
    <w:basedOn w:val="1"/>
    <w:qFormat/>
    <w:uiPriority w:val="0"/>
    <w:rPr>
      <w:sz w:val="24"/>
      <w:szCs w:val="24"/>
    </w:rPr>
  </w:style>
  <w:style w:type="paragraph" w:styleId="91">
    <w:name w:val="Body Text 3"/>
    <w:basedOn w:val="1"/>
    <w:uiPriority w:val="0"/>
    <w:pPr>
      <w:spacing w:after="120"/>
    </w:pPr>
    <w:rPr>
      <w:sz w:val="16"/>
      <w:szCs w:val="16"/>
    </w:rPr>
  </w:style>
  <w:style w:type="paragraph" w:styleId="92">
    <w:name w:val="Body Text Indent 2"/>
    <w:basedOn w:val="1"/>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uiPriority w:val="0"/>
    <w:pPr>
      <w:spacing w:after="120"/>
      <w:ind w:left="1800"/>
    </w:pPr>
  </w:style>
  <w:style w:type="paragraph" w:styleId="100">
    <w:name w:val="List 2"/>
    <w:basedOn w:val="1"/>
    <w:qFormat/>
    <w:uiPriority w:val="0"/>
    <w:pPr>
      <w:ind w:left="720" w:hanging="360"/>
    </w:pPr>
  </w:style>
  <w:style w:type="paragraph" w:styleId="101">
    <w:name w:val="List 3"/>
    <w:basedOn w:val="1"/>
    <w:uiPriority w:val="0"/>
    <w:pPr>
      <w:ind w:left="1080" w:hanging="360"/>
    </w:pPr>
  </w:style>
  <w:style w:type="paragraph" w:styleId="102">
    <w:name w:val="List 4"/>
    <w:basedOn w:val="1"/>
    <w:qFormat/>
    <w:uiPriority w:val="0"/>
    <w:pPr>
      <w:ind w:left="1440" w:hanging="360"/>
    </w:pPr>
  </w:style>
  <w:style w:type="paragraph" w:styleId="103">
    <w:name w:val="HTML Preformatted"/>
    <w:basedOn w:val="1"/>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4874CB" w:themeColor="accent1"/>
      <w:sz w:val="28"/>
      <w:szCs w:val="28"/>
      <w:lang w:val="ru-RU" w:eastAsia="en-US"/>
      <w14:textFill>
        <w14:solidFill>
          <w14:schemeClr w14:val="accent1"/>
        </w14:solidFill>
      </w14:textFill>
    </w:rPr>
  </w:style>
  <w:style w:type="character" w:customStyle="1" w:styleId="152">
    <w:name w:val="Body Text Char"/>
    <w:basedOn w:val="12"/>
    <w:link w:val="3"/>
    <w:uiPriority w:val="0"/>
    <w:rPr>
      <w:rFonts w:eastAsia="NSimSun" w:cs="Lucida Sans" w:asciiTheme="minorAscii" w:hAnsiTheme="minorAscii"/>
      <w:color w:val="auto"/>
      <w:kern w:val="2"/>
      <w:szCs w:val="24"/>
      <w:lang w:val="ru-RU" w:eastAsia="en-US" w:bidi="hi-IN"/>
    </w:rPr>
  </w:style>
  <w:style w:type="paragraph" w:customStyle="1" w:styleId="153">
    <w:name w:val="Image Caption"/>
    <w:basedOn w:val="42"/>
    <w:qFormat/>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2026-05-07T07:31:00Z</dcterms:created>
  <dc:creator>WPS_1775125980</dc:creator>
  <cp:lastModifiedBy>WPS_1775125980</cp:lastModifiedBy>
  <dcterms:modified xsi:type="dcterms:W3CDTF">2026-05-07T08:11:14Z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50E3633E686A41B38C42354181779A7E_11</vt:lpwstr>
  </property>
  <property fmtid="{D5CDD505-2E9C-101B-9397-08002B2CF9AE}" pid="4" name="KSOTemplateDocerSaveRecord">
    <vt:lpwstr>eyJoZGlkIjoiNGI5N2MxZmVjMDQ1ZWNjODI2ODFiYTk0ZTA3M2RjODQiLCJ1c2VySWQiOiI4MjQ2MzQ1OTkzMjcifQ==</vt:lpwstr>
  </property>
</Properties>
</file>