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1D1DC7D">
      <w:pPr>
        <w:rPr>
          <w:rFonts w:hint="default"/>
          <w:lang w:val="en-US"/>
        </w:rPr>
      </w:pPr>
      <w:r>
        <w:rPr>
          <w:rFonts w:hint="default"/>
          <w:lang w:val="en-US"/>
        </w:rPr>
        <w:t>Variations in Mytilus trossulus population structure</w:t>
      </w:r>
    </w:p>
    <w:p w14:paraId="79C183AC">
      <w:pPr>
        <w:rPr>
          <w:lang w:val="en-US"/>
        </w:rPr>
      </w:pPr>
    </w:p>
    <w:p w14:paraId="052F569E">
      <w:pPr>
        <w:rPr>
          <w:rFonts w:hint="default"/>
          <w:lang w:val="en-US"/>
        </w:rPr>
      </w:pPr>
      <w:r>
        <w:rPr>
          <w:rFonts w:hint="default"/>
          <w:lang w:val="en-US"/>
        </w:rPr>
        <w:t>For SEM</w:t>
      </w:r>
    </w:p>
    <w:p w14:paraId="270AB219">
      <w:pPr>
        <w:rPr>
          <w:rFonts w:hint="default"/>
          <w:lang w:val="en-US"/>
        </w:rPr>
      </w:pPr>
    </w:p>
    <w:p w14:paraId="2E05FBD3">
      <w:pPr>
        <w:rPr>
          <w:rFonts w:hint="default"/>
          <w:lang w:val="ru-RU"/>
        </w:rPr>
      </w:pPr>
      <w:bookmarkStart w:id="0" w:name="_GoBack"/>
      <w:r>
        <w:rPr>
          <w:rFonts w:hint="default"/>
          <w:lang w:val="ru-RU"/>
        </w:rPr>
        <w:t>Анализ главных компонент показал, что наиболее сильное варьирование популяционной структуры (</w:t>
      </w:r>
      <w:r>
        <w:rPr>
          <w:rFonts w:hint="default"/>
          <w:lang w:val="en-US"/>
        </w:rPr>
        <w:t xml:space="preserve">PC1, </w:t>
      </w:r>
      <w:r>
        <w:rPr>
          <w:rFonts w:hint="default"/>
          <w:lang w:val="ru-RU"/>
        </w:rPr>
        <w:t xml:space="preserve">объясняет </w:t>
      </w:r>
      <w:r>
        <w:rPr>
          <w:rFonts w:hint="default"/>
          <w:lang w:val="en-US"/>
        </w:rPr>
        <w:t>34.0</w:t>
      </w:r>
      <w:r>
        <w:rPr>
          <w:rFonts w:hint="default"/>
          <w:lang w:val="ru-RU"/>
        </w:rPr>
        <w:t>% общей дисперсии) связано с изменчивост</w:t>
      </w:r>
      <w:bookmarkEnd w:id="0"/>
      <w:r>
        <w:rPr>
          <w:rFonts w:hint="default"/>
          <w:lang w:val="ru-RU"/>
        </w:rPr>
        <w:t>ью обилия мидий</w:t>
      </w:r>
      <w:r>
        <w:rPr>
          <w:rFonts w:hint="default"/>
          <w:lang w:val="en-US"/>
        </w:rPr>
        <w:t xml:space="preserve"> (SFig. ++). </w:t>
      </w:r>
      <w:r>
        <w:rPr>
          <w:rFonts w:hint="default"/>
          <w:lang w:val="ru-RU"/>
        </w:rPr>
        <w:t>Размерные классы, включающие самых мелких моллюсков (</w:t>
      </w:r>
      <w:r>
        <w:rPr>
          <w:rFonts w:hint="default"/>
          <w:lang w:val="en-US"/>
        </w:rPr>
        <w:t>L3-L28),</w:t>
      </w:r>
      <w:r>
        <w:rPr>
          <w:rFonts w:hint="default"/>
          <w:lang w:val="ru-RU"/>
        </w:rPr>
        <w:t xml:space="preserve"> имеют высокие положительные нагрузки по </w:t>
      </w:r>
      <w:r>
        <w:rPr>
          <w:rFonts w:hint="default"/>
          <w:lang w:val="en-US"/>
        </w:rPr>
        <w:t xml:space="preserve">PC1.  </w:t>
      </w:r>
      <w:r>
        <w:rPr>
          <w:rFonts w:hint="default"/>
          <w:lang w:val="ru-RU"/>
        </w:rPr>
        <w:t>Самые крупные мидии (</w:t>
      </w:r>
      <w:r>
        <w:rPr>
          <w:rFonts w:hint="default"/>
          <w:lang w:val="en-US"/>
        </w:rPr>
        <w:t>L38-L58)</w:t>
      </w:r>
      <w:r>
        <w:rPr>
          <w:rFonts w:hint="default"/>
          <w:lang w:val="ru-RU"/>
        </w:rPr>
        <w:t xml:space="preserve">, характеризуются высокими отрицательными нагрузками по </w:t>
      </w:r>
      <w:r>
        <w:rPr>
          <w:rFonts w:hint="default"/>
          <w:lang w:val="en-US"/>
        </w:rPr>
        <w:t xml:space="preserve">PC1. </w:t>
      </w:r>
      <w:r>
        <w:rPr>
          <w:rFonts w:hint="default"/>
          <w:lang w:val="ru-RU"/>
        </w:rPr>
        <w:t xml:space="preserve">Вторая главная компонента (17.3% общей дисперсии) связана с варьированием покрытия мидиями субстрата (высокие положительные нагрузки по </w:t>
      </w:r>
      <w:r>
        <w:rPr>
          <w:rFonts w:hint="default"/>
          <w:lang w:val="en-US"/>
        </w:rPr>
        <w:t xml:space="preserve">PC2) </w:t>
      </w:r>
      <w:r>
        <w:rPr>
          <w:rFonts w:hint="default"/>
          <w:lang w:val="ru-RU"/>
        </w:rPr>
        <w:t xml:space="preserve">и биомассы моллюсков (высокие отрицательные нагрузки по </w:t>
      </w:r>
      <w:r>
        <w:rPr>
          <w:rFonts w:hint="default"/>
          <w:lang w:val="en-US"/>
        </w:rPr>
        <w:t>PC2)</w:t>
      </w:r>
      <w:r>
        <w:rPr>
          <w:rFonts w:hint="default"/>
          <w:lang w:val="ru-RU"/>
        </w:rPr>
        <w:t xml:space="preserve">. С </w:t>
      </w:r>
      <w:r>
        <w:rPr>
          <w:rFonts w:hint="default"/>
          <w:lang w:val="en-US"/>
        </w:rPr>
        <w:t xml:space="preserve">PC2 </w:t>
      </w:r>
      <w:r>
        <w:rPr>
          <w:rFonts w:hint="default"/>
          <w:lang w:val="ru-RU"/>
        </w:rPr>
        <w:t>также связаны обилия мидий средних размерных классов (</w:t>
      </w:r>
      <w:r>
        <w:rPr>
          <w:rFonts w:hint="default"/>
          <w:lang w:val="en-US"/>
        </w:rPr>
        <w:t>L</w:t>
      </w:r>
      <w:r>
        <w:rPr>
          <w:rFonts w:hint="default"/>
          <w:lang w:val="ru-RU"/>
        </w:rPr>
        <w:t>28-</w:t>
      </w:r>
      <w:r>
        <w:rPr>
          <w:rFonts w:hint="default"/>
          <w:lang w:val="en-US"/>
        </w:rPr>
        <w:t>L38)</w:t>
      </w:r>
      <w:r>
        <w:rPr>
          <w:rFonts w:hint="default"/>
          <w:lang w:val="ru-RU"/>
        </w:rPr>
        <w:t xml:space="preserve">, которые также имеют высокие отрицательные нагрузки по </w:t>
      </w:r>
      <w:r>
        <w:rPr>
          <w:rFonts w:hint="default"/>
          <w:lang w:val="en-US"/>
        </w:rPr>
        <w:t>PC2.</w:t>
      </w:r>
      <w:r>
        <w:rPr>
          <w:rFonts w:hint="default"/>
          <w:lang w:val="ru-RU"/>
        </w:rPr>
        <w:t xml:space="preserve"> </w:t>
      </w:r>
    </w:p>
    <w:p w14:paraId="7C93BDED">
      <w:pPr>
        <w:rPr>
          <w:rFonts w:hint="default"/>
          <w:lang w:val="ru-RU"/>
        </w:rPr>
      </w:pPr>
      <w:r>
        <w:rPr>
          <w:rFonts w:hint="default"/>
          <w:lang w:val="ru-RU"/>
        </w:rPr>
        <w:t>Частотные распределения размеров (</w:t>
      </w:r>
      <w:r>
        <w:rPr>
          <w:rFonts w:hint="default"/>
          <w:lang w:val="en-US"/>
        </w:rPr>
        <w:t xml:space="preserve">SFig. ++) , </w:t>
      </w:r>
      <w:r>
        <w:rPr>
          <w:rFonts w:hint="default"/>
          <w:lang w:val="ru-RU"/>
        </w:rPr>
        <w:t xml:space="preserve">будучи упорядочены в соответствии со значениями </w:t>
      </w:r>
      <w:r>
        <w:rPr>
          <w:rFonts w:hint="default"/>
          <w:lang w:val="en-US"/>
        </w:rPr>
        <w:t>PC1</w:t>
      </w:r>
      <w:r>
        <w:rPr>
          <w:rFonts w:hint="default"/>
          <w:lang w:val="ru-RU"/>
        </w:rPr>
        <w:t xml:space="preserve">, демонстрируют отчетливо выраженный градиент. Высоким отрицательным значениям </w:t>
      </w:r>
      <w:r>
        <w:rPr>
          <w:rFonts w:hint="default"/>
          <w:lang w:val="en-US"/>
        </w:rPr>
        <w:t>PC1</w:t>
      </w:r>
      <w:r>
        <w:rPr>
          <w:rFonts w:hint="default"/>
          <w:lang w:val="ru-RU"/>
        </w:rPr>
        <w:t xml:space="preserve"> соответствуют бимодальные распределения с выраженными пиками в области высоких и низких значений размеров. В таких поселениях, как правило, доминируют крупные моллюски. Высоким положительным значениям </w:t>
      </w:r>
      <w:r>
        <w:rPr>
          <w:rFonts w:hint="default"/>
          <w:lang w:val="en-US"/>
        </w:rPr>
        <w:t>PC1</w:t>
      </w:r>
      <w:r>
        <w:rPr>
          <w:rFonts w:hint="default"/>
          <w:lang w:val="ru-RU"/>
        </w:rPr>
        <w:t xml:space="preserve"> соответствуют унимодальные распределения с доминированием мелких моллюсков. </w:t>
      </w:r>
    </w:p>
    <w:p w14:paraId="291E32C4">
      <w:pPr>
        <w:rPr>
          <w:rFonts w:hint="default"/>
          <w:lang w:val="ru-RU"/>
        </w:rPr>
      </w:pPr>
      <w:r>
        <w:rPr>
          <w:rFonts w:hint="default"/>
          <w:lang w:val="ru-RU"/>
        </w:rPr>
        <w:t xml:space="preserve">Сравнение значений </w:t>
      </w:r>
      <w:r>
        <w:rPr>
          <w:rFonts w:hint="default"/>
          <w:lang w:val="en-US"/>
        </w:rPr>
        <w:t xml:space="preserve">PC1 </w:t>
      </w:r>
      <w:r>
        <w:rPr>
          <w:rFonts w:hint="default"/>
          <w:lang w:val="ru-RU"/>
        </w:rPr>
        <w:t>в 2021 и 2023 гг (</w:t>
      </w:r>
      <w:r>
        <w:rPr>
          <w:rFonts w:hint="default"/>
          <w:lang w:val="en-US"/>
        </w:rPr>
        <w:t xml:space="preserve">SFig ++) </w:t>
      </w:r>
      <w:r>
        <w:rPr>
          <w:rFonts w:hint="default"/>
          <w:lang w:val="ru-RU"/>
        </w:rPr>
        <w:t xml:space="preserve">указывает на существенное изменение этого показателя, говорящее о значимых межгодовых изменениях струкутры поселений. У большинства поселений, которые были переописаны в 2023 г. отмечены заметные сдвиги значенй </w:t>
      </w:r>
      <w:r>
        <w:rPr>
          <w:rFonts w:hint="default"/>
          <w:lang w:val="en-US"/>
        </w:rPr>
        <w:t>PC1</w:t>
      </w:r>
      <w:r>
        <w:rPr>
          <w:rFonts w:hint="default"/>
          <w:lang w:val="ru-RU"/>
        </w:rPr>
        <w:t xml:space="preserve"> в большую сторону (</w:t>
      </w:r>
      <w:r>
        <w:rPr>
          <w:rFonts w:hint="default"/>
          <w:lang w:val="en-US"/>
        </w:rPr>
        <w:t xml:space="preserve">SFig. ++). </w:t>
      </w:r>
      <w:r>
        <w:rPr>
          <w:rFonts w:hint="default"/>
          <w:lang w:val="ru-RU"/>
        </w:rPr>
        <w:t xml:space="preserve">Таким образом, </w:t>
      </w:r>
      <w:r>
        <w:rPr>
          <w:rFonts w:hint="default"/>
          <w:lang w:val="en-US"/>
        </w:rPr>
        <w:t>PC1</w:t>
      </w:r>
      <w:r>
        <w:rPr>
          <w:rFonts w:hint="default"/>
          <w:lang w:val="ru-RU"/>
        </w:rPr>
        <w:t xml:space="preserve"> характеризует также и временной градиент, связанный с временным переходом поселений от доминирования крупных, старых, мидий к доминированию молоди. </w:t>
      </w:r>
    </w:p>
    <w:p w14:paraId="4C707E8C">
      <w:pPr>
        <w:rPr>
          <w:rFonts w:hint="default"/>
          <w:lang w:val="ru-RU"/>
        </w:rPr>
      </w:pPr>
    </w:p>
    <w:p w14:paraId="4F8E0DF5">
      <w:pPr>
        <w:rPr>
          <w:rFonts w:hint="default"/>
          <w:lang w:val="ru-RU"/>
        </w:rPr>
      </w:pPr>
    </w:p>
    <w:p w14:paraId="161F4EA1">
      <w:pPr>
        <w:pStyle w:val="90"/>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Principal component analysis revealed that the </w:t>
      </w:r>
      <w:r>
        <w:rPr>
          <w:rFonts w:hint="default" w:ascii="Segoe UI" w:hAnsi="Segoe UI" w:eastAsia="Segoe UI" w:cs="Segoe UI"/>
          <w:i w:val="0"/>
          <w:iCs w:val="0"/>
          <w:caps w:val="0"/>
          <w:color w:val="0F1115"/>
          <w:spacing w:val="0"/>
          <w:sz w:val="19"/>
          <w:szCs w:val="19"/>
          <w:shd w:val="clear" w:fill="FFFFFF"/>
          <w:lang w:val="en-US"/>
        </w:rPr>
        <w:t>main</w:t>
      </w:r>
      <w:r>
        <w:rPr>
          <w:rFonts w:hint="default" w:ascii="Segoe UI" w:hAnsi="Segoe UI" w:eastAsia="Segoe UI" w:cs="Segoe UI"/>
          <w:i w:val="0"/>
          <w:iCs w:val="0"/>
          <w:caps w:val="0"/>
          <w:color w:val="0F1115"/>
          <w:spacing w:val="0"/>
          <w:sz w:val="19"/>
          <w:szCs w:val="19"/>
          <w:shd w:val="clear" w:fill="FFFFFF"/>
        </w:rPr>
        <w:t xml:space="preserve"> variation in population structure (PC1, explaining 34.0% of the total variance) was associated with variability in abundance </w:t>
      </w:r>
      <w:r>
        <w:rPr>
          <w:rFonts w:hint="default" w:ascii="Segoe UI" w:hAnsi="Segoe UI" w:eastAsia="Segoe UI" w:cs="Segoe UI"/>
          <w:i w:val="0"/>
          <w:iCs w:val="0"/>
          <w:caps w:val="0"/>
          <w:color w:val="0F1115"/>
          <w:spacing w:val="0"/>
          <w:sz w:val="19"/>
          <w:szCs w:val="19"/>
          <w:shd w:val="clear" w:fill="FFFFFF"/>
          <w:lang w:val="en-US"/>
        </w:rPr>
        <w:t xml:space="preserve">of mussels of different sizes </w:t>
      </w:r>
      <w:r>
        <w:rPr>
          <w:rFonts w:hint="default" w:ascii="Segoe UI" w:hAnsi="Segoe UI" w:eastAsia="Segoe UI" w:cs="Segoe UI"/>
          <w:i w:val="0"/>
          <w:iCs w:val="0"/>
          <w:caps w:val="0"/>
          <w:color w:val="0F1115"/>
          <w:spacing w:val="0"/>
          <w:sz w:val="19"/>
          <w:szCs w:val="19"/>
          <w:shd w:val="clear" w:fill="FFFFFF"/>
        </w:rPr>
        <w:t xml:space="preserve">(SFig. ++). </w:t>
      </w:r>
      <w:r>
        <w:rPr>
          <w:rFonts w:hint="default" w:ascii="Segoe UI" w:hAnsi="Segoe UI" w:eastAsia="Segoe UI" w:cs="Segoe UI"/>
          <w:i w:val="0"/>
          <w:iCs w:val="0"/>
          <w:caps w:val="0"/>
          <w:color w:val="0F1115"/>
          <w:spacing w:val="0"/>
          <w:sz w:val="19"/>
          <w:szCs w:val="19"/>
          <w:shd w:val="clear" w:fill="FFFFFF"/>
          <w:lang w:val="en-US"/>
        </w:rPr>
        <w:t>T</w:t>
      </w:r>
      <w:r>
        <w:rPr>
          <w:rFonts w:hint="default" w:ascii="Segoe UI" w:hAnsi="Segoe UI" w:eastAsia="Segoe UI" w:cs="Segoe UI"/>
          <w:i w:val="0"/>
          <w:iCs w:val="0"/>
          <w:caps w:val="0"/>
          <w:color w:val="0F1115"/>
          <w:spacing w:val="0"/>
          <w:sz w:val="19"/>
          <w:szCs w:val="19"/>
          <w:shd w:val="clear" w:fill="FFFFFF"/>
        </w:rPr>
        <w:t>he smallest mollusks (</w:t>
      </w:r>
      <w:r>
        <w:rPr>
          <w:rFonts w:hint="default" w:ascii="Segoe UI" w:hAnsi="Segoe UI" w:eastAsia="Segoe UI" w:cs="Segoe UI"/>
          <w:i w:val="0"/>
          <w:iCs w:val="0"/>
          <w:caps w:val="0"/>
          <w:color w:val="0F1115"/>
          <w:spacing w:val="0"/>
          <w:sz w:val="19"/>
          <w:szCs w:val="19"/>
          <w:shd w:val="clear" w:fill="FFFFFF"/>
          <w:lang w:val="en-US"/>
        </w:rPr>
        <w:t>s</w:t>
      </w:r>
      <w:r>
        <w:rPr>
          <w:rFonts w:hint="default" w:ascii="Segoe UI" w:hAnsi="Segoe UI" w:eastAsia="Segoe UI" w:cs="Segoe UI"/>
          <w:i w:val="0"/>
          <w:iCs w:val="0"/>
          <w:caps w:val="0"/>
          <w:color w:val="0F1115"/>
          <w:spacing w:val="0"/>
          <w:sz w:val="19"/>
          <w:szCs w:val="19"/>
          <w:shd w:val="clear" w:fill="FFFFFF"/>
        </w:rPr>
        <w:t xml:space="preserve">ize classes </w:t>
      </w:r>
      <w:r>
        <w:rPr>
          <w:rFonts w:hint="default" w:ascii="Segoe UI" w:hAnsi="Segoe UI" w:eastAsia="Segoe UI" w:cs="Segoe UI"/>
          <w:i w:val="0"/>
          <w:iCs w:val="0"/>
          <w:caps w:val="0"/>
          <w:color w:val="0F1115"/>
          <w:spacing w:val="0"/>
          <w:sz w:val="19"/>
          <w:szCs w:val="19"/>
          <w:shd w:val="clear" w:fill="FFFFFF"/>
        </w:rPr>
        <w:t>L3–L28) exhibited high positive loadings on PC1, whereas the largest mussels (L38–L58) were characterized by high negative loadings on PC1. The second principal component (17.3% of the total variance) was related to variation in mussel coverage (high positive loadings on PC2) and biomass (high negative loadings on PC2). PC2 was also associated with the abundance of intermediate size classes (L28–L38), which showed high negative loadings on PC2.</w:t>
      </w:r>
    </w:p>
    <w:p w14:paraId="10A902D4">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When ordered according to PC1 scores, the size frequency distributions (SFig. ++) demonstrated a clear gradient. Negative PC1 values corresponded to bimodal distributions with distinct peaks at both high and low size</w:t>
      </w:r>
      <w:r>
        <w:rPr>
          <w:rFonts w:hint="default" w:ascii="Segoe UI" w:hAnsi="Segoe UI" w:eastAsia="Segoe UI" w:cs="Segoe UI"/>
          <w:i w:val="0"/>
          <w:iCs w:val="0"/>
          <w:caps w:val="0"/>
          <w:color w:val="0F1115"/>
          <w:spacing w:val="0"/>
          <w:sz w:val="19"/>
          <w:szCs w:val="19"/>
          <w:shd w:val="clear" w:fill="FFFFFF"/>
          <w:lang w:val="en-US"/>
        </w:rPr>
        <w:t>s</w:t>
      </w:r>
      <w:r>
        <w:rPr>
          <w:rFonts w:hint="default" w:ascii="Segoe UI" w:hAnsi="Segoe UI" w:eastAsia="Segoe UI" w:cs="Segoe UI"/>
          <w:i w:val="0"/>
          <w:iCs w:val="0"/>
          <w:caps w:val="0"/>
          <w:color w:val="0F1115"/>
          <w:spacing w:val="0"/>
          <w:sz w:val="19"/>
          <w:szCs w:val="19"/>
          <w:shd w:val="clear" w:fill="FFFFFF"/>
        </w:rPr>
        <w:t>. In such settlements, large mollusks generally predominated. Positive PC1 values corresponded to unimodal distributions dominated by small mollusks.</w:t>
      </w:r>
    </w:p>
    <w:p w14:paraId="11D7DB69">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Comparison of PC1 scores between 2021 and 2023 (SFig. ++) indicated a substantial change in this parameter, suggesting significant interannual dynamics in settlement structure. Most settlements resampled in 2023 exhibited marked positive shifts in PC1 values</w:t>
      </w:r>
      <w:r>
        <w:rPr>
          <w:rFonts w:hint="default" w:ascii="Segoe UI" w:hAnsi="Segoe UI" w:eastAsia="Segoe UI" w:cs="Segoe UI"/>
          <w:i w:val="0"/>
          <w:iCs w:val="0"/>
          <w:caps w:val="0"/>
          <w:color w:val="0F1115"/>
          <w:spacing w:val="0"/>
          <w:sz w:val="19"/>
          <w:szCs w:val="19"/>
          <w:shd w:val="clear" w:fill="FFFFFF"/>
          <w:lang w:val="en-US"/>
        </w:rPr>
        <w:t xml:space="preserve"> in comparison with 2021</w:t>
      </w:r>
      <w:r>
        <w:rPr>
          <w:rFonts w:hint="default" w:ascii="Segoe UI" w:hAnsi="Segoe UI" w:eastAsia="Segoe UI" w:cs="Segoe UI"/>
          <w:i w:val="0"/>
          <w:iCs w:val="0"/>
          <w:caps w:val="0"/>
          <w:color w:val="0F1115"/>
          <w:spacing w:val="0"/>
          <w:sz w:val="19"/>
          <w:szCs w:val="19"/>
          <w:shd w:val="clear" w:fill="FFFFFF"/>
        </w:rPr>
        <w:t xml:space="preserve"> (SFig. ++). Thus, PC1 also characterizes a temporal gradient associated with the transition of settlements from dominance by large, old mussels to dominance by juveniles.</w:t>
      </w:r>
    </w:p>
    <w:p w14:paraId="4036FB25">
      <w:pPr>
        <w:rPr>
          <w:rFonts w:hint="default"/>
          <w:lang w:val="ru-RU"/>
        </w:rPr>
      </w:pPr>
    </w:p>
    <w:p w14:paraId="5A28A8F8">
      <w:pPr>
        <w:rPr>
          <w:rFonts w:hint="default"/>
          <w:lang w:val="ru-RU"/>
        </w:rPr>
      </w:pPr>
    </w:p>
    <w:p w14:paraId="7B062930">
      <w:pPr>
        <w:rPr>
          <w:rFonts w:hint="default"/>
          <w:lang w:val="ru-RU"/>
        </w:rPr>
      </w:pPr>
    </w:p>
    <w:p w14:paraId="4D8A5EBF">
      <w:pPr>
        <w:rPr>
          <w:rFonts w:hint="default"/>
          <w:lang w:val="ru-RU"/>
        </w:rPr>
      </w:pPr>
    </w:p>
    <w:p w14:paraId="33BC8F4C">
      <w:pPr>
        <w:rPr>
          <w:rFonts w:hint="default"/>
          <w:lang w:val="en-US"/>
        </w:rPr>
      </w:pPr>
      <w:r>
        <w:rPr>
          <w:rFonts w:hint="default"/>
          <w:lang w:val="en-US"/>
        </w:rPr>
        <w:t>Main text</w:t>
      </w:r>
    </w:p>
    <w:p w14:paraId="0AE658E1">
      <w:pPr>
        <w:rPr>
          <w:rFonts w:hint="default"/>
          <w:lang w:val="en-US"/>
        </w:rPr>
      </w:pPr>
      <w:r>
        <w:rPr>
          <w:rFonts w:hint="default"/>
          <w:lang w:val="ru-RU"/>
        </w:rPr>
        <w:t>Наиболее информативная первая главная компонента характеризует  варьирование размерно-возрастной структуры поселений мидий</w:t>
      </w:r>
      <w:r>
        <w:rPr>
          <w:rFonts w:hint="default"/>
          <w:lang w:val="en-US"/>
        </w:rPr>
        <w:t xml:space="preserve"> </w:t>
      </w:r>
      <w:r>
        <w:rPr>
          <w:rFonts w:hint="default"/>
          <w:lang w:val="ru-RU"/>
        </w:rPr>
        <w:t>(</w:t>
      </w:r>
      <w:r>
        <w:rPr>
          <w:rFonts w:hint="default"/>
          <w:lang w:val="en-US"/>
        </w:rPr>
        <w:t>SEM ++)</w:t>
      </w:r>
      <w:r>
        <w:rPr>
          <w:rFonts w:hint="default"/>
          <w:lang w:val="ru-RU"/>
        </w:rPr>
        <w:t xml:space="preserve">. Высокие отрицательные значения </w:t>
      </w:r>
      <w:r>
        <w:rPr>
          <w:rFonts w:hint="default"/>
          <w:lang w:val="en-US"/>
        </w:rPr>
        <w:t xml:space="preserve">PC1 </w:t>
      </w:r>
      <w:r>
        <w:rPr>
          <w:rFonts w:hint="default"/>
          <w:lang w:val="ru-RU"/>
        </w:rPr>
        <w:t xml:space="preserve">указывают на доминирование в поселениях крупных, старых, моллюсков. Наиболее выражена такая структура поселений в точках </w:t>
      </w:r>
      <w:r>
        <w:rPr>
          <w:rFonts w:hint="default"/>
          <w:lang w:val="en-US"/>
        </w:rPr>
        <w:t xml:space="preserve">MAR_21, VES_21, VES_23 </w:t>
      </w:r>
      <w:r>
        <w:rPr>
          <w:rFonts w:hint="default"/>
          <w:lang w:val="ru-RU"/>
        </w:rPr>
        <w:t xml:space="preserve">и </w:t>
      </w:r>
      <w:r>
        <w:rPr>
          <w:rFonts w:hint="default"/>
          <w:lang w:val="en-US"/>
        </w:rPr>
        <w:t>OLA_23.</w:t>
      </w:r>
      <w:r>
        <w:rPr>
          <w:rFonts w:hint="default"/>
          <w:lang w:val="ru-RU"/>
        </w:rPr>
        <w:t xml:space="preserve"> Высокие положительные значения характеризуют поселения с доминированием мелких моллюсков (</w:t>
      </w:r>
      <w:r>
        <w:rPr>
          <w:rFonts w:hint="default"/>
          <w:lang w:val="en-US"/>
        </w:rPr>
        <w:t xml:space="preserve">NUK-1_23, MAM_23, BAT_23, ZHEM_23, TIKH_23). </w:t>
      </w:r>
    </w:p>
    <w:p w14:paraId="27A6AC63">
      <w:pPr>
        <w:rPr>
          <w:rFonts w:hint="default"/>
          <w:lang w:val="ru-RU"/>
        </w:rPr>
      </w:pPr>
      <w:r>
        <w:rPr>
          <w:rFonts w:hint="default"/>
          <w:lang w:val="ru-RU"/>
        </w:rPr>
        <w:t xml:space="preserve">Варьирование </w:t>
      </w:r>
      <w:r>
        <w:rPr>
          <w:rFonts w:hint="default"/>
          <w:lang w:val="en-US"/>
        </w:rPr>
        <w:t>PC2</w:t>
      </w:r>
      <w:r>
        <w:rPr>
          <w:rFonts w:hint="default"/>
          <w:lang w:val="ru-RU"/>
        </w:rPr>
        <w:t xml:space="preserve"> характеризует изменчивость биомассы мидий и проективного покрытия. Поселения, где биомасса высока, но покрытие низкое, имеют высокие отрицательные значения </w:t>
      </w:r>
      <w:r>
        <w:rPr>
          <w:rFonts w:hint="default"/>
          <w:lang w:val="en-US"/>
        </w:rPr>
        <w:t>PC2</w:t>
      </w:r>
      <w:r>
        <w:rPr>
          <w:rFonts w:hint="default"/>
          <w:lang w:val="ru-RU"/>
        </w:rPr>
        <w:t xml:space="preserve">. Высокие положительные значения </w:t>
      </w:r>
      <w:r>
        <w:rPr>
          <w:rFonts w:hint="default"/>
          <w:lang w:val="en-US"/>
        </w:rPr>
        <w:t>PC2</w:t>
      </w:r>
      <w:r>
        <w:rPr>
          <w:rFonts w:hint="default"/>
          <w:lang w:val="ru-RU"/>
        </w:rPr>
        <w:t xml:space="preserve"> характерны для поселений с высоким покрытием, но низкой биомассой.  </w:t>
      </w:r>
    </w:p>
    <w:p w14:paraId="29D139CF">
      <w:pPr>
        <w:rPr>
          <w:lang w:val="en-US"/>
        </w:rPr>
      </w:pPr>
    </w:p>
    <w:p w14:paraId="31F5C192">
      <w:pPr>
        <w:pStyle w:val="90"/>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The most informative first principal component (PC1) characterizes variation in the size</w:t>
      </w:r>
      <w:r>
        <w:rPr>
          <w:rFonts w:hint="default" w:ascii="Segoe UI" w:hAnsi="Segoe UI" w:eastAsia="Segoe UI" w:cs="Segoe UI"/>
          <w:i w:val="0"/>
          <w:iCs w:val="0"/>
          <w:caps w:val="0"/>
          <w:color w:val="0F1115"/>
          <w:spacing w:val="0"/>
          <w:sz w:val="19"/>
          <w:szCs w:val="19"/>
          <w:shd w:val="clear" w:fill="FFFFFF"/>
          <w:lang w:val="en-US"/>
        </w:rPr>
        <w:t>-</w:t>
      </w:r>
      <w:r>
        <w:rPr>
          <w:rFonts w:hint="default" w:ascii="Segoe UI" w:hAnsi="Segoe UI" w:eastAsia="Segoe UI" w:cs="Segoe UI"/>
          <w:i w:val="0"/>
          <w:iCs w:val="0"/>
          <w:caps w:val="0"/>
          <w:color w:val="0F1115"/>
          <w:spacing w:val="0"/>
          <w:sz w:val="19"/>
          <w:szCs w:val="19"/>
          <w:shd w:val="clear" w:fill="FFFFFF"/>
        </w:rPr>
        <w:t>structure of mussel settlements (SEM ++). High negative PC1 values indicate the dominance of large, old mollusks within the settlements. This type of settlement structure was most pronounced at sites MAR_21, VES_21, VES_23, and OLA_23. High positive PC1 values characterize settlements dominated by small mollusks (NUK-1_23, MAM_23, BAT_23, ZHEM_23, TIKH_23).</w:t>
      </w:r>
    </w:p>
    <w:p w14:paraId="68B0C322">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Variation along PC2 reflects variability in mussel biomass and cover. Settlements characterized by high biomass but low cover exhibit high negative PC2 values. High positive PC2 values are typical </w:t>
      </w:r>
      <w:r>
        <w:rPr>
          <w:rFonts w:hint="default" w:ascii="Segoe UI" w:hAnsi="Segoe UI" w:eastAsia="Segoe UI" w:cs="Segoe UI"/>
          <w:i w:val="0"/>
          <w:iCs w:val="0"/>
          <w:caps w:val="0"/>
          <w:color w:val="0F1115"/>
          <w:spacing w:val="0"/>
          <w:sz w:val="19"/>
          <w:szCs w:val="19"/>
          <w:shd w:val="clear" w:fill="FFFFFF"/>
          <w:lang w:val="en-US"/>
        </w:rPr>
        <w:t>for</w:t>
      </w:r>
      <w:r>
        <w:rPr>
          <w:rFonts w:hint="default" w:ascii="Segoe UI" w:hAnsi="Segoe UI" w:eastAsia="Segoe UI" w:cs="Segoe UI"/>
          <w:i w:val="0"/>
          <w:iCs w:val="0"/>
          <w:caps w:val="0"/>
          <w:color w:val="0F1115"/>
          <w:spacing w:val="0"/>
          <w:sz w:val="19"/>
          <w:szCs w:val="19"/>
          <w:shd w:val="clear" w:fill="FFFFFF"/>
        </w:rPr>
        <w:t xml:space="preserve"> settlements with high cover but low biomass.</w:t>
      </w:r>
    </w:p>
    <w:p w14:paraId="601F5F29">
      <w:pPr>
        <w:rPr>
          <w:rFonts w:hint="default"/>
          <w:lang w:val="en-US"/>
        </w:rPr>
      </w:pPr>
    </w:p>
    <w:p w14:paraId="16530250">
      <w:pPr>
        <w:rPr>
          <w:rFonts w:hint="default"/>
          <w:lang w:val="en-US"/>
        </w:rPr>
      </w:pPr>
    </w:p>
    <w:p w14:paraId="75370E2E">
      <w:pPr>
        <w:rPr>
          <w:rFonts w:hint="default"/>
          <w:lang w:val="en-US"/>
        </w:rPr>
      </w:pPr>
      <w:r>
        <w:rPr>
          <w:rFonts w:hint="default"/>
          <w:lang w:val="en-US"/>
        </w:rPr>
        <w:t>BTN prevalence variation</w:t>
      </w:r>
    </w:p>
    <w:p w14:paraId="500F4C46">
      <w:pPr>
        <w:rPr>
          <w:rFonts w:hint="default"/>
          <w:lang w:val="ru-RU"/>
        </w:rPr>
      </w:pPr>
      <w:r>
        <w:rPr>
          <w:rFonts w:hint="default"/>
          <w:lang w:val="ru-RU"/>
        </w:rPr>
        <w:t>Всего было обследовано +++ особей, размеры которых варьировали от ++ до ++ мм (медиана ++). Среди этих особей найдено +++ зараженных, размеры которых варьировали от +++ до +++ мм (медиана +++). Частоты обеих линий трансмиссивного рака (</w:t>
      </w:r>
      <w:r>
        <w:rPr>
          <w:rFonts w:hint="default"/>
          <w:lang w:val="en-US"/>
        </w:rPr>
        <w:t xml:space="preserve">BTN1 and BTN2) </w:t>
      </w:r>
      <w:r>
        <w:rPr>
          <w:rFonts w:hint="default"/>
          <w:lang w:val="ru-RU"/>
        </w:rPr>
        <w:t>варьировали в пределах от 0 (в ++ точках не встретилось ни одного зараженного моллюска) до +++% (</w:t>
      </w:r>
      <w:r>
        <w:rPr>
          <w:rFonts w:hint="default"/>
          <w:lang w:val="en-US"/>
        </w:rPr>
        <w:t>BTN1</w:t>
      </w:r>
      <w:r>
        <w:rPr>
          <w:rFonts w:hint="default"/>
          <w:lang w:val="ru-RU"/>
        </w:rPr>
        <w:t>, сайт +++</w:t>
      </w:r>
      <w:r>
        <w:rPr>
          <w:rFonts w:hint="default"/>
          <w:lang w:val="en-US"/>
        </w:rPr>
        <w:t xml:space="preserve">) </w:t>
      </w:r>
      <w:r>
        <w:rPr>
          <w:rFonts w:hint="default"/>
          <w:lang w:val="ru-RU"/>
        </w:rPr>
        <w:t xml:space="preserve">и </w:t>
      </w:r>
      <w:r>
        <w:rPr>
          <w:rFonts w:hint="default"/>
          <w:lang w:val="en-US"/>
        </w:rPr>
        <w:t>+++%(BTN2</w:t>
      </w:r>
      <w:r>
        <w:rPr>
          <w:rFonts w:hint="default"/>
          <w:lang w:val="ru-RU"/>
        </w:rPr>
        <w:t>, сайт ++++</w:t>
      </w:r>
      <w:r>
        <w:rPr>
          <w:rFonts w:hint="default"/>
          <w:lang w:val="en-US"/>
        </w:rPr>
        <w:t>).</w:t>
      </w:r>
      <w:r>
        <w:rPr>
          <w:rFonts w:hint="default"/>
          <w:lang w:val="ru-RU"/>
        </w:rPr>
        <w:t xml:space="preserve">  В среднем, частоты </w:t>
      </w:r>
      <w:r>
        <w:rPr>
          <w:rFonts w:hint="default"/>
          <w:lang w:val="en-US"/>
        </w:rPr>
        <w:t xml:space="preserve">BTN1 </w:t>
      </w:r>
      <w:r>
        <w:rPr>
          <w:rFonts w:hint="default"/>
          <w:lang w:val="ru-RU"/>
        </w:rPr>
        <w:t xml:space="preserve">и </w:t>
      </w:r>
      <w:r>
        <w:rPr>
          <w:rFonts w:hint="default"/>
          <w:lang w:val="en-US"/>
        </w:rPr>
        <w:t>BTN2</w:t>
      </w:r>
      <w:r>
        <w:rPr>
          <w:rFonts w:hint="default"/>
          <w:lang w:val="ru-RU"/>
        </w:rPr>
        <w:t xml:space="preserve"> были близки и составляли 2.07% и 2.04% соответственно. </w:t>
      </w:r>
    </w:p>
    <w:p w14:paraId="3A2B88BE">
      <w:pPr>
        <w:rPr>
          <w:rFonts w:hint="default"/>
          <w:lang w:val="en-US"/>
        </w:rPr>
      </w:pPr>
      <w:r>
        <w:rPr>
          <w:rFonts w:hint="default"/>
          <w:lang w:val="ru-RU"/>
        </w:rPr>
        <w:t xml:space="preserve">Анализ пространственного распределения частот выявил крайне неоднородные паттерны распределиния </w:t>
      </w:r>
      <w:r>
        <w:rPr>
          <w:rFonts w:hint="default"/>
          <w:lang w:val="en-US"/>
        </w:rPr>
        <w:t>BTN1</w:t>
      </w:r>
      <w:r>
        <w:rPr>
          <w:rFonts w:hint="default"/>
          <w:lang w:val="ru-RU"/>
        </w:rPr>
        <w:t xml:space="preserve"> и </w:t>
      </w:r>
      <w:r>
        <w:rPr>
          <w:rFonts w:hint="default"/>
          <w:lang w:val="en-US"/>
        </w:rPr>
        <w:t>BTN2</w:t>
      </w:r>
      <w:r>
        <w:rPr>
          <w:rFonts w:hint="default"/>
          <w:lang w:val="ru-RU"/>
        </w:rPr>
        <w:t xml:space="preserve"> (</w:t>
      </w:r>
      <w:r>
        <w:rPr>
          <w:rFonts w:hint="default"/>
          <w:lang w:val="en-US"/>
        </w:rPr>
        <w:t xml:space="preserve">Fig. ++). </w:t>
      </w:r>
      <w:r>
        <w:rPr>
          <w:rFonts w:hint="default"/>
          <w:lang w:val="ru-RU"/>
        </w:rPr>
        <w:t>При этом начимой корреляции между частотами двух линий не выявлено (</w:t>
      </w:r>
      <w:r>
        <w:rPr>
          <w:rFonts w:hint="default"/>
          <w:lang w:val="en-US"/>
        </w:rPr>
        <w:t>R</w:t>
      </w:r>
      <w:r>
        <w:rPr>
          <w:rFonts w:hint="default"/>
          <w:vertAlign w:val="subscript"/>
          <w:lang w:val="en-US"/>
        </w:rPr>
        <w:t>Spearman</w:t>
      </w:r>
      <w:r>
        <w:rPr>
          <w:rFonts w:hint="default"/>
          <w:lang w:val="en-US"/>
        </w:rPr>
        <w:t xml:space="preserve"> = 0.27, p =0.208, n = 24).</w:t>
      </w:r>
    </w:p>
    <w:p w14:paraId="60D65D80">
      <w:pPr>
        <w:rPr>
          <w:rFonts w:hint="default"/>
          <w:lang w:val="en-US"/>
        </w:rPr>
      </w:pPr>
    </w:p>
    <w:p w14:paraId="163D99E5">
      <w:pPr>
        <w:pStyle w:val="90"/>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A total of +++ individuals were examined, with sizes ranging from ++ to ++ mm (median ++). Among these, +++ infected individuals were found, with sizes varying from +++ to +++ mm (median +++). The frequencies of both transmissible cancer lineages (BTN1 and BTN2) ranged from 0 (no infected mollusks were found in ++ sites) to +++% (BTN1, site +++) and +++% (BTN2, site ++++). On average, the frequencies of BTN1 and BTN2 were similar, amounting to 2.07% and 2.04%, respectively.</w:t>
      </w:r>
    </w:p>
    <w:p w14:paraId="643A1470">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Analysis of the spatial distribution of </w:t>
      </w:r>
      <w:r>
        <w:rPr>
          <w:rFonts w:hint="default" w:ascii="Segoe UI" w:hAnsi="Segoe UI" w:eastAsia="Segoe UI" w:cs="Segoe UI"/>
          <w:i w:val="0"/>
          <w:iCs w:val="0"/>
          <w:caps w:val="0"/>
          <w:color w:val="0F1115"/>
          <w:spacing w:val="0"/>
          <w:sz w:val="19"/>
          <w:szCs w:val="19"/>
          <w:shd w:val="clear" w:fill="FFFFFF"/>
          <w:lang w:val="en-US"/>
        </w:rPr>
        <w:t>prevalence</w:t>
      </w:r>
      <w:r>
        <w:rPr>
          <w:rFonts w:hint="default" w:ascii="Segoe UI" w:hAnsi="Segoe UI" w:eastAsia="Segoe UI" w:cs="Segoe UI"/>
          <w:i w:val="0"/>
          <w:iCs w:val="0"/>
          <w:caps w:val="0"/>
          <w:color w:val="0F1115"/>
          <w:spacing w:val="0"/>
          <w:sz w:val="19"/>
          <w:szCs w:val="19"/>
          <w:shd w:val="clear" w:fill="FFFFFF"/>
        </w:rPr>
        <w:t xml:space="preserve"> revealed highly heterogeneous patterns for both BTN1 and BTN2 (Fig. ++). No significant correlation was detected between the frequencies of the two lineages (Spearman's R = 0.27, p = 0.208, n = 24).</w:t>
      </w:r>
    </w:p>
    <w:p w14:paraId="19D6954C">
      <w:pPr>
        <w:rPr>
          <w:rFonts w:hint="default"/>
          <w:lang w:val="en-US"/>
        </w:rPr>
      </w:pPr>
    </w:p>
    <w:p w14:paraId="37680BC7">
      <w:pPr>
        <w:rPr>
          <w:rFonts w:hint="default"/>
          <w:lang w:val="en-US"/>
        </w:rPr>
      </w:pPr>
      <w:r>
        <w:drawing>
          <wp:inline distT="0" distB="0" distL="114300" distR="114300">
            <wp:extent cx="5212080" cy="3257550"/>
            <wp:effectExtent l="0" t="0" r="0" b="381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6"/>
                    <a:stretch>
                      <a:fillRect/>
                    </a:stretch>
                  </pic:blipFill>
                  <pic:spPr>
                    <a:xfrm>
                      <a:off x="0" y="0"/>
                      <a:ext cx="5212080" cy="3257550"/>
                    </a:xfrm>
                    <a:prstGeom prst="rect">
                      <a:avLst/>
                    </a:prstGeom>
                    <a:noFill/>
                    <a:ln>
                      <a:noFill/>
                    </a:ln>
                  </pic:spPr>
                </pic:pic>
              </a:graphicData>
            </a:graphic>
          </wp:inline>
        </w:drawing>
      </w:r>
    </w:p>
    <w:p w14:paraId="458E8D76">
      <w:pPr>
        <w:rPr>
          <w:rFonts w:hint="default"/>
          <w:lang w:val="ru-RU"/>
        </w:rPr>
      </w:pPr>
      <w:r>
        <w:rPr>
          <w:rFonts w:hint="default"/>
          <w:lang w:val="en-US"/>
        </w:rPr>
        <w:t xml:space="preserve"> </w:t>
      </w:r>
    </w:p>
    <w:p w14:paraId="562C73DE">
      <w:pPr>
        <w:rPr>
          <w:rFonts w:hint="default"/>
          <w:lang w:val="ru-RU"/>
        </w:rPr>
      </w:pPr>
    </w:p>
    <w:p w14:paraId="1B9B12DD">
      <w:pPr>
        <w:rPr>
          <w:rFonts w:hint="default"/>
          <w:lang w:val="ru-RU"/>
        </w:rPr>
      </w:pPr>
    </w:p>
    <w:p w14:paraId="4DEED557">
      <w:pPr>
        <w:rPr>
          <w:rFonts w:hint="default"/>
          <w:b/>
          <w:bCs/>
          <w:lang w:val="en-US"/>
        </w:rPr>
      </w:pPr>
      <w:r>
        <w:rPr>
          <w:rFonts w:hint="default"/>
          <w:b/>
          <w:bCs/>
          <w:lang w:val="en-US"/>
        </w:rPr>
        <w:t>Dependence of BTN prevalences on predictors</w:t>
      </w:r>
    </w:p>
    <w:p w14:paraId="1A11B3F8">
      <w:pPr>
        <w:rPr>
          <w:rFonts w:hint="default"/>
          <w:lang w:val="en-US"/>
        </w:rPr>
      </w:pPr>
    </w:p>
    <w:p w14:paraId="75C00603">
      <w:pPr>
        <w:rPr>
          <w:rFonts w:hint="default"/>
          <w:lang w:val="en-US"/>
        </w:rPr>
      </w:pPr>
      <w:r>
        <w:rPr>
          <w:rFonts w:hint="default"/>
          <w:lang w:val="ru-RU"/>
        </w:rPr>
        <w:t>Модель 1 (</w:t>
      </w:r>
      <w:r>
        <w:rPr>
          <w:rFonts w:hint="default"/>
          <w:lang w:val="en-US"/>
        </w:rPr>
        <w:t xml:space="preserve">Table ++) </w:t>
      </w:r>
      <w:r>
        <w:rPr>
          <w:rFonts w:hint="default"/>
          <w:lang w:val="ru-RU"/>
        </w:rPr>
        <w:t>описывает 72% девиансы (</w:t>
      </w:r>
      <w:r>
        <w:rPr>
          <w:rFonts w:hint="default"/>
          <w:lang w:val="en-US"/>
        </w:rPr>
        <w:t xml:space="preserve">Rsq_adj = 0.67). </w:t>
      </w:r>
      <w:r>
        <w:rPr>
          <w:rFonts w:hint="default"/>
          <w:lang w:val="ru-RU"/>
        </w:rPr>
        <w:t xml:space="preserve">Статистически значимые связи были выявлены только между частотой </w:t>
      </w:r>
      <w:r>
        <w:rPr>
          <w:rFonts w:hint="default"/>
          <w:lang w:val="en-US"/>
        </w:rPr>
        <w:t xml:space="preserve">BTN1 </w:t>
      </w:r>
      <w:r>
        <w:rPr>
          <w:rFonts w:hint="default"/>
          <w:lang w:val="ru-RU"/>
        </w:rPr>
        <w:t>и расстоянием до порта (</w:t>
      </w:r>
      <w:r>
        <w:rPr>
          <w:rFonts w:hint="default"/>
          <w:lang w:val="en-US"/>
        </w:rPr>
        <w:t xml:space="preserve">Dist_Port), </w:t>
      </w:r>
      <w:r>
        <w:rPr>
          <w:rFonts w:hint="default"/>
          <w:lang w:val="ru-RU"/>
        </w:rPr>
        <w:t>величиной открытости для волнового воздейстивия (</w:t>
      </w:r>
      <w:r>
        <w:rPr>
          <w:rFonts w:hint="default"/>
          <w:lang w:val="en-US"/>
        </w:rPr>
        <w:t xml:space="preserve">Fetch) </w:t>
      </w:r>
      <w:r>
        <w:rPr>
          <w:rFonts w:hint="default"/>
          <w:lang w:val="ru-RU"/>
        </w:rPr>
        <w:t>и величиной характеризующей размерную структуру поселения мидий (</w:t>
      </w:r>
      <w:r>
        <w:rPr>
          <w:rFonts w:hint="default"/>
          <w:lang w:val="en-US"/>
        </w:rPr>
        <w:t>PC1</w:t>
      </w:r>
      <w:r>
        <w:rPr>
          <w:rFonts w:hint="default"/>
          <w:lang w:val="ru-RU"/>
        </w:rPr>
        <w:t xml:space="preserve">). Ни с одним из перечисленных предикторов частота </w:t>
      </w:r>
      <w:r>
        <w:rPr>
          <w:rFonts w:hint="default"/>
          <w:lang w:val="en-US"/>
        </w:rPr>
        <w:t xml:space="preserve">BTN2 </w:t>
      </w:r>
      <w:r>
        <w:rPr>
          <w:rFonts w:hint="default"/>
          <w:lang w:val="ru-RU"/>
        </w:rPr>
        <w:t xml:space="preserve">не была связана. Кроме того отмечена связь частоты </w:t>
      </w:r>
      <w:r>
        <w:rPr>
          <w:rFonts w:hint="default"/>
          <w:lang w:val="en-US"/>
        </w:rPr>
        <w:t xml:space="preserve">BTN2 </w:t>
      </w:r>
      <w:r>
        <w:rPr>
          <w:rFonts w:hint="default"/>
          <w:lang w:val="ru-RU"/>
        </w:rPr>
        <w:t xml:space="preserve">с характеристикой группового роста </w:t>
      </w:r>
      <w:r>
        <w:rPr>
          <w:rFonts w:hint="default"/>
          <w:lang w:val="en-US"/>
        </w:rPr>
        <w:t xml:space="preserve">(OGP). </w:t>
      </w:r>
      <w:r>
        <w:rPr>
          <w:rFonts w:hint="default"/>
          <w:lang w:val="ru-RU"/>
        </w:rPr>
        <w:t xml:space="preserve">Связь частоты </w:t>
      </w:r>
      <w:r>
        <w:rPr>
          <w:rFonts w:hint="default"/>
          <w:lang w:val="en-US"/>
        </w:rPr>
        <w:t xml:space="preserve">BTN1 </w:t>
      </w:r>
      <w:r>
        <w:rPr>
          <w:rFonts w:hint="default"/>
          <w:lang w:val="ru-RU"/>
        </w:rPr>
        <w:t xml:space="preserve">с этим предиктором была </w:t>
      </w:r>
      <w:r>
        <w:rPr>
          <w:rFonts w:hint="default"/>
          <w:lang w:val="en-US"/>
        </w:rPr>
        <w:t xml:space="preserve">marginaly significant. </w:t>
      </w:r>
    </w:p>
    <w:p w14:paraId="26C86011">
      <w:pPr>
        <w:rPr>
          <w:rFonts w:hint="default"/>
          <w:lang w:val="ru-RU"/>
        </w:rPr>
      </w:pPr>
    </w:p>
    <w:p w14:paraId="5AD03827">
      <w:pPr>
        <w:rPr>
          <w:rFonts w:hint="default"/>
          <w:lang w:val="ru-RU"/>
        </w:rPr>
      </w:pPr>
      <w:r>
        <w:rPr>
          <w:rFonts w:ascii="Segoe UI" w:hAnsi="Segoe UI" w:eastAsia="Segoe UI" w:cs="Segoe UI"/>
          <w:i w:val="0"/>
          <w:iCs w:val="0"/>
          <w:caps w:val="0"/>
          <w:color w:val="0F1115"/>
          <w:spacing w:val="0"/>
          <w:sz w:val="19"/>
          <w:szCs w:val="19"/>
          <w:shd w:val="clear" w:fill="FFFFFF"/>
        </w:rPr>
        <w:t xml:space="preserve">Model 1 (Table ++) accounted for 72% of the deviance (adjusted R² = 0.67). Statistically significant associations were found only between BTN1 </w:t>
      </w:r>
      <w:r>
        <w:rPr>
          <w:rFonts w:hint="default" w:ascii="Segoe UI" w:hAnsi="Segoe UI" w:eastAsia="Segoe UI" w:cs="Segoe UI"/>
          <w:i w:val="0"/>
          <w:iCs w:val="0"/>
          <w:caps w:val="0"/>
          <w:color w:val="0F1115"/>
          <w:spacing w:val="0"/>
          <w:sz w:val="19"/>
          <w:szCs w:val="19"/>
          <w:shd w:val="clear" w:fill="FFFFFF"/>
          <w:lang w:val="en-US"/>
        </w:rPr>
        <w:t xml:space="preserve">prevalrnce </w:t>
      </w:r>
      <w:r>
        <w:rPr>
          <w:rFonts w:ascii="Segoe UI" w:hAnsi="Segoe UI" w:eastAsia="Segoe UI" w:cs="Segoe UI"/>
          <w:i w:val="0"/>
          <w:iCs w:val="0"/>
          <w:caps w:val="0"/>
          <w:color w:val="0F1115"/>
          <w:spacing w:val="0"/>
          <w:sz w:val="19"/>
          <w:szCs w:val="19"/>
          <w:shd w:val="clear" w:fill="FFFFFF"/>
        </w:rPr>
        <w:t xml:space="preserve">and distance to port (Dist_Port), wave exposure </w:t>
      </w:r>
      <w:r>
        <w:rPr>
          <w:rFonts w:hint="default" w:ascii="Segoe UI" w:hAnsi="Segoe UI" w:eastAsia="Segoe UI" w:cs="Segoe UI"/>
          <w:i w:val="0"/>
          <w:iCs w:val="0"/>
          <w:caps w:val="0"/>
          <w:color w:val="0F1115"/>
          <w:spacing w:val="0"/>
          <w:sz w:val="19"/>
          <w:szCs w:val="19"/>
          <w:shd w:val="clear" w:fill="FFFFFF"/>
          <w:lang w:val="en-US"/>
        </w:rPr>
        <w:t>level</w:t>
      </w:r>
      <w:r>
        <w:rPr>
          <w:rFonts w:ascii="Segoe UI" w:hAnsi="Segoe UI" w:eastAsia="Segoe UI" w:cs="Segoe UI"/>
          <w:i w:val="0"/>
          <w:iCs w:val="0"/>
          <w:caps w:val="0"/>
          <w:color w:val="0F1115"/>
          <w:spacing w:val="0"/>
          <w:sz w:val="19"/>
          <w:szCs w:val="19"/>
          <w:shd w:val="clear" w:fill="FFFFFF"/>
        </w:rPr>
        <w:t xml:space="preserve"> (Fetch), and the parameter characterizing the size structure of the mussel settlement (PC1). BTN2 </w:t>
      </w:r>
      <w:r>
        <w:rPr>
          <w:rFonts w:hint="default" w:ascii="Segoe UI" w:hAnsi="Segoe UI" w:eastAsia="Segoe UI" w:cs="Segoe UI"/>
          <w:i w:val="0"/>
          <w:iCs w:val="0"/>
          <w:caps w:val="0"/>
          <w:color w:val="0F1115"/>
          <w:spacing w:val="0"/>
          <w:sz w:val="19"/>
          <w:szCs w:val="19"/>
          <w:shd w:val="clear" w:fill="FFFFFF"/>
          <w:lang w:val="en-US"/>
        </w:rPr>
        <w:t>prevalence</w:t>
      </w:r>
      <w:r>
        <w:rPr>
          <w:rFonts w:ascii="Segoe UI" w:hAnsi="Segoe UI" w:eastAsia="Segoe UI" w:cs="Segoe UI"/>
          <w:i w:val="0"/>
          <w:iCs w:val="0"/>
          <w:caps w:val="0"/>
          <w:color w:val="0F1115"/>
          <w:spacing w:val="0"/>
          <w:sz w:val="19"/>
          <w:szCs w:val="19"/>
          <w:shd w:val="clear" w:fill="FFFFFF"/>
        </w:rPr>
        <w:t xml:space="preserve"> was not associated with any of the</w:t>
      </w:r>
      <w:r>
        <w:rPr>
          <w:rFonts w:hint="default" w:ascii="Segoe UI" w:hAnsi="Segoe UI" w:eastAsia="Segoe UI" w:cs="Segoe UI"/>
          <w:i w:val="0"/>
          <w:iCs w:val="0"/>
          <w:caps w:val="0"/>
          <w:color w:val="0F1115"/>
          <w:spacing w:val="0"/>
          <w:sz w:val="19"/>
          <w:szCs w:val="19"/>
          <w:shd w:val="clear" w:fill="FFFFFF"/>
          <w:lang w:val="en-US"/>
        </w:rPr>
        <w:t>se</w:t>
      </w:r>
      <w:r>
        <w:rPr>
          <w:rFonts w:ascii="Segoe UI" w:hAnsi="Segoe UI" w:eastAsia="Segoe UI" w:cs="Segoe UI"/>
          <w:i w:val="0"/>
          <w:iCs w:val="0"/>
          <w:caps w:val="0"/>
          <w:color w:val="0F1115"/>
          <w:spacing w:val="0"/>
          <w:sz w:val="19"/>
          <w:szCs w:val="19"/>
          <w:shd w:val="clear" w:fill="FFFFFF"/>
        </w:rPr>
        <w:t xml:space="preserve"> predictors. Additionally, an association was detected between BTN2 frequency and the </w:t>
      </w:r>
      <w:r>
        <w:rPr>
          <w:rFonts w:hint="default" w:ascii="Segoe UI" w:hAnsi="Segoe UI" w:eastAsia="Segoe UI" w:cs="Segoe UI"/>
          <w:i w:val="0"/>
          <w:iCs w:val="0"/>
          <w:caps w:val="0"/>
          <w:color w:val="0F1115"/>
          <w:spacing w:val="0"/>
          <w:sz w:val="19"/>
          <w:szCs w:val="19"/>
          <w:shd w:val="clear" w:fill="FFFFFF"/>
          <w:lang w:val="en-US"/>
        </w:rPr>
        <w:t xml:space="preserve">group </w:t>
      </w:r>
      <w:r>
        <w:rPr>
          <w:rFonts w:ascii="Segoe UI" w:hAnsi="Segoe UI" w:eastAsia="Segoe UI" w:cs="Segoe UI"/>
          <w:i w:val="0"/>
          <w:iCs w:val="0"/>
          <w:caps w:val="0"/>
          <w:color w:val="0F1115"/>
          <w:spacing w:val="0"/>
          <w:sz w:val="19"/>
          <w:szCs w:val="19"/>
          <w:shd w:val="clear" w:fill="FFFFFF"/>
        </w:rPr>
        <w:t xml:space="preserve">growth </w:t>
      </w:r>
      <w:r>
        <w:rPr>
          <w:rFonts w:hint="default" w:ascii="Segoe UI" w:hAnsi="Segoe UI" w:eastAsia="Segoe UI" w:cs="Segoe UI"/>
          <w:i w:val="0"/>
          <w:iCs w:val="0"/>
          <w:caps w:val="0"/>
          <w:color w:val="0F1115"/>
          <w:spacing w:val="0"/>
          <w:sz w:val="19"/>
          <w:szCs w:val="19"/>
          <w:shd w:val="clear" w:fill="FFFFFF"/>
          <w:lang w:val="en-US"/>
        </w:rPr>
        <w:t xml:space="preserve">score </w:t>
      </w:r>
      <w:r>
        <w:rPr>
          <w:rFonts w:ascii="Segoe UI" w:hAnsi="Segoe UI" w:eastAsia="Segoe UI" w:cs="Segoe UI"/>
          <w:i w:val="0"/>
          <w:iCs w:val="0"/>
          <w:caps w:val="0"/>
          <w:color w:val="0F1115"/>
          <w:spacing w:val="0"/>
          <w:sz w:val="19"/>
          <w:szCs w:val="19"/>
          <w:shd w:val="clear" w:fill="FFFFFF"/>
        </w:rPr>
        <w:t>(OGP). The association between BTN1 and this predictor was marginally significant.</w:t>
      </w:r>
    </w:p>
    <w:p w14:paraId="0641E757">
      <w:pPr>
        <w:rPr>
          <w:rFonts w:hint="default"/>
          <w:lang w:val="en-US"/>
        </w:rPr>
      </w:pPr>
      <w:r>
        <w:rPr>
          <w:rFonts w:hint="default"/>
          <w:lang w:val="en-US"/>
        </w:rPr>
        <w:t xml:space="preserve"> </w:t>
      </w:r>
    </w:p>
    <w:p w14:paraId="19BAA371">
      <w:pPr>
        <w:rPr>
          <w:rFonts w:hint="default"/>
          <w:lang w:val="en-US"/>
        </w:rPr>
      </w:pPr>
    </w:p>
    <w:p w14:paraId="367F3D2D">
      <w:pPr>
        <w:rPr>
          <w:rFonts w:hint="default"/>
          <w:lang w:val="en-US"/>
        </w:rPr>
      </w:pPr>
      <w:r>
        <w:rPr>
          <w:rFonts w:hint="default"/>
          <w:lang w:val="ru-RU"/>
        </w:rPr>
        <w:t xml:space="preserve">Согласно </w:t>
      </w:r>
      <w:r>
        <w:rPr>
          <w:rFonts w:hint="default"/>
          <w:lang w:val="en-US"/>
        </w:rPr>
        <w:t xml:space="preserve">Model 1 (Fig. ++), </w:t>
      </w:r>
      <w:r>
        <w:rPr>
          <w:rFonts w:hint="default"/>
          <w:lang w:val="ru-RU"/>
        </w:rPr>
        <w:t xml:space="preserve">по мере увеличения расстояния до порта и увеличения степени открытости побережья частота </w:t>
      </w:r>
      <w:r>
        <w:rPr>
          <w:rFonts w:hint="default"/>
          <w:lang w:val="en-US"/>
        </w:rPr>
        <w:t>BTN1</w:t>
      </w:r>
      <w:r>
        <w:rPr>
          <w:rFonts w:hint="default"/>
          <w:lang w:val="ru-RU"/>
        </w:rPr>
        <w:t xml:space="preserve"> линейно возрастает. Связь между частотой </w:t>
      </w:r>
      <w:r>
        <w:rPr>
          <w:rFonts w:hint="default"/>
          <w:lang w:val="en-US"/>
        </w:rPr>
        <w:t xml:space="preserve">BTN1 </w:t>
      </w:r>
      <w:r>
        <w:rPr>
          <w:rFonts w:hint="default"/>
          <w:lang w:val="ru-RU"/>
        </w:rPr>
        <w:t xml:space="preserve">и </w:t>
      </w:r>
      <w:r>
        <w:rPr>
          <w:rFonts w:hint="default"/>
          <w:lang w:val="en-US"/>
        </w:rPr>
        <w:t>PC1</w:t>
      </w:r>
      <w:r>
        <w:rPr>
          <w:rFonts w:hint="default"/>
          <w:lang w:val="ru-RU"/>
        </w:rPr>
        <w:t xml:space="preserve"> была нелинейной (</w:t>
      </w:r>
      <w:r>
        <w:rPr>
          <w:rFonts w:hint="default"/>
          <w:lang w:val="en-US"/>
        </w:rPr>
        <w:t xml:space="preserve">edf = 2.0, Table ++), </w:t>
      </w:r>
      <w:r>
        <w:rPr>
          <w:rFonts w:hint="default"/>
          <w:lang w:val="ru-RU"/>
        </w:rPr>
        <w:t xml:space="preserve"> Модель </w:t>
      </w:r>
      <w:r>
        <w:rPr>
          <w:rFonts w:hint="default"/>
          <w:lang w:val="en-US"/>
        </w:rPr>
        <w:t>1</w:t>
      </w:r>
      <w:r>
        <w:rPr>
          <w:rFonts w:hint="default"/>
          <w:lang w:val="ru-RU"/>
        </w:rPr>
        <w:t xml:space="preserve"> предсказывает максимальную частоту </w:t>
      </w:r>
      <w:r>
        <w:rPr>
          <w:rFonts w:hint="default"/>
          <w:lang w:val="en-US"/>
        </w:rPr>
        <w:t>BTN1</w:t>
      </w:r>
      <w:r>
        <w:rPr>
          <w:rFonts w:hint="default"/>
          <w:lang w:val="ru-RU"/>
        </w:rPr>
        <w:t xml:space="preserve"> при самых низких значениях </w:t>
      </w:r>
      <w:r>
        <w:rPr>
          <w:rFonts w:hint="default"/>
          <w:lang w:val="en-US"/>
        </w:rPr>
        <w:t>PC1</w:t>
      </w:r>
      <w:r>
        <w:rPr>
          <w:rFonts w:hint="default"/>
          <w:lang w:val="ru-RU"/>
        </w:rPr>
        <w:t xml:space="preserve">. Минимальное значение частоты </w:t>
      </w:r>
      <w:r>
        <w:rPr>
          <w:rFonts w:hint="default"/>
          <w:lang w:val="en-US"/>
        </w:rPr>
        <w:t>BTN1</w:t>
      </w:r>
      <w:r>
        <w:rPr>
          <w:rFonts w:hint="default"/>
          <w:lang w:val="ru-RU"/>
        </w:rPr>
        <w:t xml:space="preserve">, согласно Модели 1, приходится на значения </w:t>
      </w:r>
      <w:r>
        <w:rPr>
          <w:rFonts w:hint="default"/>
          <w:lang w:val="en-US"/>
        </w:rPr>
        <w:t>PC1</w:t>
      </w:r>
      <w:r>
        <w:rPr>
          <w:rFonts w:hint="default"/>
          <w:lang w:val="ru-RU"/>
        </w:rPr>
        <w:t xml:space="preserve"> близкие к нулю. При высоких положительных значениях </w:t>
      </w:r>
      <w:r>
        <w:rPr>
          <w:rFonts w:hint="default"/>
          <w:lang w:val="en-US"/>
        </w:rPr>
        <w:t>PC1</w:t>
      </w:r>
      <w:r>
        <w:rPr>
          <w:rFonts w:hint="default"/>
          <w:lang w:val="ru-RU"/>
        </w:rPr>
        <w:t xml:space="preserve"> Модель 1 предсказывает некоторое увеличение частоты </w:t>
      </w:r>
      <w:r>
        <w:rPr>
          <w:rFonts w:hint="default"/>
          <w:lang w:val="en-US"/>
        </w:rPr>
        <w:t xml:space="preserve">BTN1. </w:t>
      </w:r>
      <w:r>
        <w:rPr>
          <w:rFonts w:hint="default"/>
          <w:lang w:val="ru-RU"/>
        </w:rPr>
        <w:t xml:space="preserve">Обе линии демонстрируют близкую к линейной положительную связь с </w:t>
      </w:r>
      <w:r>
        <w:rPr>
          <w:rFonts w:hint="default"/>
          <w:lang w:val="en-US"/>
        </w:rPr>
        <w:t>OGP.</w:t>
      </w:r>
    </w:p>
    <w:p w14:paraId="7EB330F7">
      <w:pPr>
        <w:rPr>
          <w:rFonts w:hint="default"/>
          <w:lang w:val="en-US"/>
        </w:rPr>
      </w:pPr>
    </w:p>
    <w:p w14:paraId="1A55B26F">
      <w:pPr>
        <w:rPr>
          <w:rFonts w:hint="default"/>
          <w:lang w:val="en-US"/>
        </w:rPr>
      </w:pPr>
      <w:r>
        <w:rPr>
          <w:rFonts w:ascii="Segoe UI" w:hAnsi="Segoe UI" w:eastAsia="Segoe UI" w:cs="Segoe UI"/>
          <w:i w:val="0"/>
          <w:iCs w:val="0"/>
          <w:caps w:val="0"/>
          <w:color w:val="0F1115"/>
          <w:spacing w:val="0"/>
          <w:sz w:val="19"/>
          <w:szCs w:val="19"/>
          <w:shd w:val="clear" w:fill="FFFFFF"/>
        </w:rPr>
        <w:t xml:space="preserve">According to Model 1 (Fig. ++), BTN1 frequency increases linearly with increasing distance to port and increasing degree of coastal exposure. The relationship between BTN1 frequency and PC1 was nonlinear (edf = 2.0, Table ++). Model 1 predicts the highest BTN1 </w:t>
      </w:r>
      <w:r>
        <w:rPr>
          <w:rFonts w:hint="default" w:ascii="Segoe UI" w:hAnsi="Segoe UI" w:eastAsia="Segoe UI" w:cs="Segoe UI"/>
          <w:i w:val="0"/>
          <w:iCs w:val="0"/>
          <w:caps w:val="0"/>
          <w:color w:val="0F1115"/>
          <w:spacing w:val="0"/>
          <w:sz w:val="19"/>
          <w:szCs w:val="19"/>
          <w:shd w:val="clear" w:fill="FFFFFF"/>
          <w:lang w:val="en-US"/>
        </w:rPr>
        <w:t xml:space="preserve">prevalence </w:t>
      </w:r>
      <w:r>
        <w:rPr>
          <w:rFonts w:ascii="Segoe UI" w:hAnsi="Segoe UI" w:eastAsia="Segoe UI" w:cs="Segoe UI"/>
          <w:i w:val="0"/>
          <w:iCs w:val="0"/>
          <w:caps w:val="0"/>
          <w:color w:val="0F1115"/>
          <w:spacing w:val="0"/>
          <w:sz w:val="19"/>
          <w:szCs w:val="19"/>
          <w:shd w:val="clear" w:fill="FFFFFF"/>
        </w:rPr>
        <w:t xml:space="preserve">at the lowest PC1 values. The minimum BTN1 </w:t>
      </w:r>
      <w:r>
        <w:rPr>
          <w:rFonts w:hint="default" w:ascii="Segoe UI" w:hAnsi="Segoe UI" w:eastAsia="Segoe UI" w:cs="Segoe UI"/>
          <w:i w:val="0"/>
          <w:iCs w:val="0"/>
          <w:caps w:val="0"/>
          <w:color w:val="0F1115"/>
          <w:spacing w:val="0"/>
          <w:sz w:val="19"/>
          <w:szCs w:val="19"/>
          <w:shd w:val="clear" w:fill="FFFFFF"/>
          <w:lang w:val="en-US"/>
        </w:rPr>
        <w:t>prevalence</w:t>
      </w:r>
      <w:r>
        <w:rPr>
          <w:rFonts w:ascii="Segoe UI" w:hAnsi="Segoe UI" w:eastAsia="Segoe UI" w:cs="Segoe UI"/>
          <w:i w:val="0"/>
          <w:iCs w:val="0"/>
          <w:caps w:val="0"/>
          <w:color w:val="0F1115"/>
          <w:spacing w:val="0"/>
          <w:sz w:val="19"/>
          <w:szCs w:val="19"/>
          <w:shd w:val="clear" w:fill="FFFFFF"/>
        </w:rPr>
        <w:t xml:space="preserve"> predicted by Model 1 occurs at PC1 values close to zero. At high positive PC1 values, Model 1 predicts a slight increase in BTN1 frequency. Both lineages exhibit a near-linear positive relationship with OGP.</w:t>
      </w:r>
    </w:p>
    <w:p w14:paraId="01601E78"/>
    <w:p w14:paraId="43C9BAF1">
      <w:r>
        <w:drawing>
          <wp:inline distT="0" distB="0" distL="114300" distR="114300">
            <wp:extent cx="5274310" cy="3767455"/>
            <wp:effectExtent l="0" t="0" r="13970" b="1206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7"/>
                    <a:stretch>
                      <a:fillRect/>
                    </a:stretch>
                  </pic:blipFill>
                  <pic:spPr>
                    <a:xfrm>
                      <a:off x="0" y="0"/>
                      <a:ext cx="5274310" cy="3767455"/>
                    </a:xfrm>
                    <a:prstGeom prst="rect">
                      <a:avLst/>
                    </a:prstGeom>
                    <a:noFill/>
                    <a:ln>
                      <a:noFill/>
                    </a:ln>
                  </pic:spPr>
                </pic:pic>
              </a:graphicData>
            </a:graphic>
          </wp:inline>
        </w:drawing>
      </w:r>
    </w:p>
    <w:p w14:paraId="2CC59522"/>
    <w:p w14:paraId="511669A0">
      <w:pPr>
        <w:rPr>
          <w:rFonts w:hint="default"/>
          <w:lang w:val="en-US"/>
        </w:rPr>
      </w:pPr>
      <w:r>
        <w:drawing>
          <wp:inline distT="0" distB="0" distL="114300" distR="114300">
            <wp:extent cx="5274310" cy="3767455"/>
            <wp:effectExtent l="0" t="0" r="13970" b="1206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8"/>
                    <a:stretch>
                      <a:fillRect/>
                    </a:stretch>
                  </pic:blipFill>
                  <pic:spPr>
                    <a:xfrm>
                      <a:off x="0" y="0"/>
                      <a:ext cx="5274310" cy="3767455"/>
                    </a:xfrm>
                    <a:prstGeom prst="rect">
                      <a:avLst/>
                    </a:prstGeom>
                    <a:noFill/>
                    <a:ln>
                      <a:noFill/>
                    </a:ln>
                  </pic:spPr>
                </pic:pic>
              </a:graphicData>
            </a:graphic>
          </wp:inline>
        </w:drawing>
      </w:r>
    </w:p>
    <w:p w14:paraId="3916AC74">
      <w:r>
        <w:drawing>
          <wp:inline distT="0" distB="0" distL="114300" distR="114300">
            <wp:extent cx="5274310" cy="3767455"/>
            <wp:effectExtent l="0" t="0" r="13970" b="12065"/>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9"/>
                    <a:stretch>
                      <a:fillRect/>
                    </a:stretch>
                  </pic:blipFill>
                  <pic:spPr>
                    <a:xfrm>
                      <a:off x="0" y="0"/>
                      <a:ext cx="5274310" cy="3767455"/>
                    </a:xfrm>
                    <a:prstGeom prst="rect">
                      <a:avLst/>
                    </a:prstGeom>
                    <a:noFill/>
                    <a:ln>
                      <a:noFill/>
                    </a:ln>
                  </pic:spPr>
                </pic:pic>
              </a:graphicData>
            </a:graphic>
          </wp:inline>
        </w:drawing>
      </w:r>
    </w:p>
    <w:p w14:paraId="3CE70CD3"/>
    <w:p w14:paraId="0FA76050"/>
    <w:p w14:paraId="5E8D2DFD">
      <w:pPr>
        <w:rPr>
          <w:rFonts w:hint="default"/>
          <w:lang w:val="en-US"/>
        </w:rPr>
      </w:pPr>
    </w:p>
    <w:p w14:paraId="004B3429">
      <w:pPr>
        <w:rPr>
          <w:rFonts w:hint="default"/>
          <w:lang w:val="en-US"/>
        </w:rPr>
      </w:pPr>
    </w:p>
    <w:p w14:paraId="01E035BD">
      <w:pPr>
        <w:rPr>
          <w:rFonts w:hint="default"/>
          <w:b/>
          <w:bCs/>
          <w:lang w:val="en-US"/>
        </w:rPr>
      </w:pPr>
      <w:r>
        <w:rPr>
          <w:rFonts w:hint="default"/>
          <w:b/>
          <w:bCs/>
          <w:lang w:val="en-US"/>
        </w:rPr>
        <w:t>Effects of BTN infection on reproductive function of the host</w:t>
      </w:r>
    </w:p>
    <w:p w14:paraId="37C280C7">
      <w:pPr>
        <w:rPr>
          <w:rFonts w:hint="default"/>
          <w:lang w:val="en-US"/>
        </w:rPr>
      </w:pPr>
    </w:p>
    <w:p w14:paraId="7DD80E4F">
      <w:pPr>
        <w:rPr>
          <w:rFonts w:hint="default"/>
          <w:i/>
          <w:iCs/>
          <w:lang w:val="ru-RU"/>
        </w:rPr>
      </w:pPr>
      <w:r>
        <w:rPr>
          <w:rFonts w:hint="default"/>
          <w:i/>
          <w:iCs/>
          <w:lang w:val="ru-RU"/>
        </w:rPr>
        <w:t>Продукция гамет у здоровых и зараженных мидий</w:t>
      </w:r>
    </w:p>
    <w:p w14:paraId="77EFC40E">
      <w:pPr>
        <w:rPr>
          <w:rFonts w:hint="default"/>
          <w:lang w:val="ru-RU"/>
        </w:rPr>
      </w:pPr>
      <w:r>
        <w:rPr>
          <w:rFonts w:hint="default"/>
          <w:lang w:val="ru-RU"/>
        </w:rPr>
        <w:t xml:space="preserve">Исследование мазков гонад не выявило гамет у более чем половины зараженных моллюсков (++% для </w:t>
      </w:r>
      <w:r>
        <w:rPr>
          <w:rFonts w:hint="default"/>
          <w:lang w:val="en-US"/>
        </w:rPr>
        <w:t xml:space="preserve">BTN1, ++% </w:t>
      </w:r>
      <w:r>
        <w:rPr>
          <w:rFonts w:hint="default"/>
          <w:lang w:val="ru-RU"/>
        </w:rPr>
        <w:t xml:space="preserve">для </w:t>
      </w:r>
      <w:r>
        <w:rPr>
          <w:rFonts w:hint="default"/>
          <w:lang w:val="en-US"/>
        </w:rPr>
        <w:t>BTN2</w:t>
      </w:r>
      <w:r>
        <w:rPr>
          <w:rFonts w:hint="default"/>
          <w:lang w:val="ru-RU"/>
        </w:rPr>
        <w:t xml:space="preserve">, </w:t>
      </w:r>
      <w:r>
        <w:rPr>
          <w:rFonts w:hint="default"/>
          <w:lang w:val="en-US"/>
        </w:rPr>
        <w:t xml:space="preserve">Fig. +++). </w:t>
      </w:r>
      <w:r>
        <w:rPr>
          <w:rFonts w:hint="default"/>
          <w:lang w:val="ru-RU"/>
        </w:rPr>
        <w:t>Среди здоровых особей частота моллюсков, у которых не было обнаружено гамет была заметно ниже (+++%).</w:t>
      </w:r>
    </w:p>
    <w:p w14:paraId="32A42A70">
      <w:pPr>
        <w:rPr>
          <w:rFonts w:hint="default"/>
          <w:lang w:val="ru-RU"/>
        </w:rPr>
      </w:pPr>
    </w:p>
    <w:p w14:paraId="193C8EE6">
      <w:pPr>
        <w:pStyle w:val="90"/>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Style w:val="29"/>
          <w:rFonts w:hint="default" w:ascii="Segoe UI" w:hAnsi="Segoe UI" w:eastAsia="Segoe UI" w:cs="Segoe UI"/>
          <w:b/>
          <w:bCs/>
          <w:i w:val="0"/>
          <w:iCs w:val="0"/>
          <w:caps w:val="0"/>
          <w:color w:val="0F1115"/>
          <w:spacing w:val="0"/>
          <w:sz w:val="19"/>
          <w:szCs w:val="19"/>
          <w:shd w:val="clear" w:fill="FFFFFF"/>
        </w:rPr>
        <w:t>Gamete production in healthy and infected mussels</w:t>
      </w:r>
    </w:p>
    <w:p w14:paraId="0137AC77">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lang w:val="en-US"/>
        </w:rPr>
        <w:t>Analysis</w:t>
      </w:r>
      <w:r>
        <w:rPr>
          <w:rFonts w:hint="default" w:ascii="Segoe UI" w:hAnsi="Segoe UI" w:eastAsia="Segoe UI" w:cs="Segoe UI"/>
          <w:i w:val="0"/>
          <w:iCs w:val="0"/>
          <w:caps w:val="0"/>
          <w:color w:val="0F1115"/>
          <w:spacing w:val="0"/>
          <w:sz w:val="19"/>
          <w:szCs w:val="19"/>
          <w:shd w:val="clear" w:fill="FFFFFF"/>
        </w:rPr>
        <w:t xml:space="preserve"> of gonad smears revealed no gametes in more than half of the infected mollusks (++% for BTN1, ++% for BTN2, Fig. +++). Among healthy individuals, the frequency of mussels with no detectable gametes was markedly lower (+++%).</w:t>
      </w:r>
    </w:p>
    <w:p w14:paraId="6CDD306A">
      <w:pPr>
        <w:rPr>
          <w:rFonts w:hint="default"/>
          <w:lang w:val="ru-RU"/>
        </w:rPr>
      </w:pPr>
    </w:p>
    <w:p w14:paraId="315E66D1">
      <w:pPr>
        <w:rPr>
          <w:rFonts w:hint="default"/>
          <w:lang w:val="ru-RU"/>
        </w:rPr>
      </w:pPr>
    </w:p>
    <w:p w14:paraId="542A9B3D">
      <w:pPr>
        <w:rPr>
          <w:rFonts w:hint="default"/>
          <w:lang w:val="en-US"/>
        </w:rPr>
      </w:pPr>
    </w:p>
    <w:p w14:paraId="4977C7B0">
      <w:r>
        <w:drawing>
          <wp:inline distT="0" distB="0" distL="114300" distR="114300">
            <wp:extent cx="5266690" cy="2633345"/>
            <wp:effectExtent l="0" t="0" r="6350" b="3175"/>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0"/>
                    <a:stretch>
                      <a:fillRect/>
                    </a:stretch>
                  </pic:blipFill>
                  <pic:spPr>
                    <a:xfrm>
                      <a:off x="0" y="0"/>
                      <a:ext cx="5266690" cy="2633345"/>
                    </a:xfrm>
                    <a:prstGeom prst="rect">
                      <a:avLst/>
                    </a:prstGeom>
                    <a:noFill/>
                    <a:ln>
                      <a:noFill/>
                    </a:ln>
                  </pic:spPr>
                </pic:pic>
              </a:graphicData>
            </a:graphic>
          </wp:inline>
        </w:drawing>
      </w:r>
    </w:p>
    <w:p w14:paraId="0F9EA280"/>
    <w:p w14:paraId="6998F882"/>
    <w:p w14:paraId="0938BF9C">
      <w:pPr>
        <w:rPr>
          <w:rFonts w:hint="default"/>
          <w:i/>
          <w:iCs/>
          <w:lang w:val="en-US"/>
        </w:rPr>
      </w:pPr>
      <w:r>
        <w:rPr>
          <w:rFonts w:hint="default"/>
          <w:i/>
          <w:iCs/>
          <w:lang w:val="ru-RU"/>
        </w:rPr>
        <w:t xml:space="preserve">Зависимость размеров ацинусов гонад от обилия анеуплоидных клеток в гемолимфе у двух линий </w:t>
      </w:r>
      <w:r>
        <w:rPr>
          <w:rFonts w:hint="default"/>
          <w:i/>
          <w:iCs/>
          <w:lang w:val="en-US"/>
        </w:rPr>
        <w:t>BTN</w:t>
      </w:r>
    </w:p>
    <w:p w14:paraId="3B13DE55">
      <w:pPr>
        <w:rPr>
          <w:rFonts w:hint="default"/>
          <w:lang w:val="ru-RU"/>
        </w:rPr>
      </w:pPr>
      <w:r>
        <w:rPr>
          <w:rFonts w:hint="default"/>
          <w:lang w:val="ru-RU"/>
        </w:rPr>
        <w:t xml:space="preserve"> </w:t>
      </w:r>
    </w:p>
    <w:p w14:paraId="6CB50CA3">
      <w:pPr>
        <w:rPr>
          <w:rFonts w:hint="default"/>
          <w:lang w:val="ru-RU"/>
        </w:rPr>
      </w:pPr>
      <w:r>
        <w:rPr>
          <w:rFonts w:hint="default"/>
          <w:lang w:val="ru-RU"/>
        </w:rPr>
        <w:t>Согласно Модели 2 (</w:t>
      </w:r>
      <w:r>
        <w:rPr>
          <w:rFonts w:hint="default"/>
          <w:lang w:val="en-US"/>
        </w:rPr>
        <w:t>Table +++</w:t>
      </w:r>
      <w:r>
        <w:rPr>
          <w:rFonts w:hint="default"/>
          <w:lang w:val="ru-RU"/>
        </w:rPr>
        <w:t>),</w:t>
      </w:r>
      <w:r>
        <w:rPr>
          <w:rFonts w:hint="default"/>
          <w:lang w:val="en-US"/>
        </w:rPr>
        <w:t xml:space="preserve"> </w:t>
      </w:r>
      <w:r>
        <w:rPr>
          <w:rFonts w:hint="default"/>
          <w:lang w:val="ru-RU"/>
        </w:rPr>
        <w:t xml:space="preserve">между долей анеуплоидных клеток в гемолимфе и линией </w:t>
      </w:r>
      <w:r>
        <w:rPr>
          <w:rFonts w:hint="default"/>
          <w:lang w:val="en-US"/>
        </w:rPr>
        <w:t>BTN</w:t>
      </w:r>
      <w:r>
        <w:rPr>
          <w:rFonts w:hint="default"/>
          <w:lang w:val="ru-RU"/>
        </w:rPr>
        <w:t xml:space="preserve"> существует статистически значимое взаимодействие. Это говорит о разном характере зависимости размеров ацинусов от степени развития заболевания, которое характеризуется долей анеуплоидных клеток в гемолимфе</w:t>
      </w:r>
      <w:r>
        <w:rPr>
          <w:rFonts w:hint="default"/>
          <w:lang w:val="en-US"/>
        </w:rPr>
        <w:t xml:space="preserve"> (Fig. ++)</w:t>
      </w:r>
      <w:r>
        <w:rPr>
          <w:rFonts w:hint="default"/>
          <w:lang w:val="ru-RU"/>
        </w:rPr>
        <w:t xml:space="preserve">. Согласно Модели 2, размер ацинусов у моллюсков, зараженных </w:t>
      </w:r>
      <w:r>
        <w:rPr>
          <w:rFonts w:hint="default"/>
          <w:lang w:val="en-US"/>
        </w:rPr>
        <w:t>BTN</w:t>
      </w:r>
      <w:r>
        <w:rPr>
          <w:rFonts w:hint="default"/>
          <w:lang w:val="ru-RU"/>
        </w:rPr>
        <w:t xml:space="preserve">2, низок на всех стадиях развития заболевания (при всех значениях обилия анеуплоидных клеток в гемолимфе). Иная картина наблюдается у моллюсков, зараженных </w:t>
      </w:r>
      <w:r>
        <w:rPr>
          <w:rFonts w:hint="default"/>
          <w:lang w:val="en-US"/>
        </w:rPr>
        <w:t>BTN1</w:t>
      </w:r>
      <w:r>
        <w:rPr>
          <w:rFonts w:hint="default"/>
          <w:lang w:val="ru-RU"/>
        </w:rPr>
        <w:t>. На ранних стадиях заболевания (ниже 50% анеуплоидных клеток в гемолимфе) средний размер ацинусов не демонстрирует значимых отличий от размера ацинусов у здоровых мидий. На поздних стадиях (доля анеуплоидных клеток выше 50%) размеры ацинусов снижаются, стновясь существенно ниже средних размеров этого показателя у здоровых моллюсков.</w:t>
      </w:r>
    </w:p>
    <w:p w14:paraId="037FE1C4">
      <w:pPr>
        <w:rPr>
          <w:rFonts w:hint="default"/>
          <w:lang w:val="ru-RU"/>
        </w:rPr>
      </w:pPr>
    </w:p>
    <w:p w14:paraId="38B15D7D">
      <w:pPr>
        <w:pStyle w:val="90"/>
        <w:keepNext w:val="0"/>
        <w:keepLines w:val="0"/>
        <w:widowControl/>
        <w:suppressLineNumbers w:val="0"/>
        <w:spacing w:before="192" w:beforeAutospacing="0" w:after="192" w:afterAutospacing="0" w:line="336" w:lineRule="atLeast"/>
        <w:ind w:left="0" w:right="0"/>
      </w:pPr>
      <w:r>
        <w:rPr>
          <w:rStyle w:val="29"/>
          <w:rFonts w:ascii="Segoe UI" w:hAnsi="Segoe UI" w:eastAsia="Segoe UI" w:cs="Segoe UI"/>
          <w:b/>
          <w:bCs/>
          <w:i w:val="0"/>
          <w:iCs w:val="0"/>
          <w:caps w:val="0"/>
          <w:color w:val="0F1115"/>
          <w:spacing w:val="0"/>
          <w:sz w:val="19"/>
          <w:szCs w:val="19"/>
          <w:shd w:val="clear" w:fill="FFFFFF"/>
        </w:rPr>
        <w:t>Relationship between gonad acinus size and the abundance of aneuploid cells in the hemolymph of two BTN lineages</w:t>
      </w:r>
    </w:p>
    <w:p w14:paraId="583B6617">
      <w:pPr>
        <w:pStyle w:val="90"/>
        <w:keepNext w:val="0"/>
        <w:keepLines w:val="0"/>
        <w:widowControl/>
        <w:suppressLineNumbers w:val="0"/>
        <w:spacing w:before="192" w:beforeAutospacing="0" w:after="192" w:afterAutospacing="0" w:line="336" w:lineRule="atLeast"/>
        <w:ind w:left="0" w:right="0"/>
      </w:pPr>
      <w:r>
        <w:rPr>
          <w:rFonts w:hint="default" w:ascii="Segoe UI" w:hAnsi="Segoe UI" w:eastAsia="Segoe UI" w:cs="Segoe UI"/>
          <w:i w:val="0"/>
          <w:iCs w:val="0"/>
          <w:caps w:val="0"/>
          <w:color w:val="0F1115"/>
          <w:spacing w:val="0"/>
          <w:sz w:val="19"/>
          <w:szCs w:val="19"/>
          <w:shd w:val="clear" w:fill="FFFFFF"/>
        </w:rPr>
        <w:t>According to Model 2 (Table +++), a statistically significant interaction exists between the proportion of aneuploid cells in the hemolymph and the BTN lineage. This indicates a different</w:t>
      </w:r>
      <w:r>
        <w:rPr>
          <w:rFonts w:hint="default" w:ascii="Segoe UI" w:hAnsi="Segoe UI" w:eastAsia="Segoe UI" w:cs="Segoe UI"/>
          <w:i w:val="0"/>
          <w:iCs w:val="0"/>
          <w:caps w:val="0"/>
          <w:color w:val="0F1115"/>
          <w:spacing w:val="0"/>
          <w:sz w:val="19"/>
          <w:szCs w:val="19"/>
          <w:shd w:val="clear" w:fill="FFFFFF"/>
          <w:lang w:val="en-US"/>
        </w:rPr>
        <w:t xml:space="preserve">, lineage-specific </w:t>
      </w:r>
      <w:r>
        <w:rPr>
          <w:rFonts w:hint="default" w:ascii="Segoe UI" w:hAnsi="Segoe UI" w:eastAsia="Segoe UI" w:cs="Segoe UI"/>
          <w:i w:val="0"/>
          <w:iCs w:val="0"/>
          <w:caps w:val="0"/>
          <w:color w:val="0F1115"/>
          <w:spacing w:val="0"/>
          <w:sz w:val="19"/>
          <w:szCs w:val="19"/>
          <w:shd w:val="clear" w:fill="FFFFFF"/>
        </w:rPr>
        <w:t xml:space="preserve">pattern in the relationship between acinus size and disease progression, as characterized by the proportion of aneuploid cells in the hemolymph (Fig. ++). According to Model 2, acinus size in mussels infected with BTN2 remains low at all stages of disease progression (i.e., across all values of aneuploid cell abundance in the hemolymph). A different pattern is observed in mussels infected with BTN1. At early stages of the disease (less than 50% aneuploid cells in the hemolymph), the mean acinus size does not differ significantly from that of healthy mussels. At later stages (proportion of aneuploid cells exceeding 50%), acinus sizes decrease, becoming </w:t>
      </w:r>
      <w:r>
        <w:rPr>
          <w:rFonts w:hint="default" w:ascii="Segoe UI" w:hAnsi="Segoe UI" w:eastAsia="Segoe UI" w:cs="Segoe UI"/>
          <w:i w:val="0"/>
          <w:iCs w:val="0"/>
          <w:caps w:val="0"/>
          <w:color w:val="0F1115"/>
          <w:spacing w:val="0"/>
          <w:sz w:val="19"/>
          <w:szCs w:val="19"/>
          <w:shd w:val="clear" w:fill="FFFFFF"/>
          <w:lang w:val="en-US"/>
        </w:rPr>
        <w:t xml:space="preserve">significantly </w:t>
      </w:r>
      <w:r>
        <w:rPr>
          <w:rFonts w:hint="default" w:ascii="Segoe UI" w:hAnsi="Segoe UI" w:eastAsia="Segoe UI" w:cs="Segoe UI"/>
          <w:i w:val="0"/>
          <w:iCs w:val="0"/>
          <w:caps w:val="0"/>
          <w:color w:val="0F1115"/>
          <w:spacing w:val="0"/>
          <w:sz w:val="19"/>
          <w:szCs w:val="19"/>
          <w:shd w:val="clear" w:fill="FFFFFF"/>
        </w:rPr>
        <w:t>smaller than the mean values observed in healthy mollusks.</w:t>
      </w:r>
    </w:p>
    <w:p w14:paraId="1C7F6ECC">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line="336" w:lineRule="atLeast"/>
        <w:ind w:left="0" w:right="0"/>
      </w:pPr>
    </w:p>
    <w:p w14:paraId="59AE89CF">
      <w:pPr>
        <w:rPr>
          <w:rFonts w:hint="default"/>
          <w:lang w:val="ru-RU"/>
        </w:rPr>
      </w:pPr>
      <w:r>
        <w:drawing>
          <wp:inline distT="0" distB="0" distL="114300" distR="114300">
            <wp:extent cx="5267325" cy="3304540"/>
            <wp:effectExtent l="0" t="0" r="5715" b="254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1"/>
                    <a:stretch>
                      <a:fillRect/>
                    </a:stretch>
                  </pic:blipFill>
                  <pic:spPr>
                    <a:xfrm>
                      <a:off x="0" y="0"/>
                      <a:ext cx="5267325" cy="3304540"/>
                    </a:xfrm>
                    <a:prstGeom prst="rect">
                      <a:avLst/>
                    </a:prstGeom>
                    <a:noFill/>
                    <a:ln>
                      <a:noFill/>
                    </a:ln>
                  </pic:spPr>
                </pic:pic>
              </a:graphicData>
            </a:graphic>
          </wp:inline>
        </w:drawing>
      </w:r>
    </w:p>
    <w:p w14:paraId="57D07603">
      <w:pPr>
        <w:rPr>
          <w:rFonts w:hint="default"/>
          <w:b/>
          <w:bCs/>
          <w:lang w:val="ru-RU"/>
        </w:rPr>
      </w:pPr>
      <w:r>
        <w:rPr>
          <w:rFonts w:hint="default"/>
          <w:b/>
          <w:bCs/>
          <w:lang w:val="ru-RU"/>
        </w:rPr>
        <w:t>Effect of BTN on mollusk growth</w:t>
      </w:r>
    </w:p>
    <w:p w14:paraId="3A028D49">
      <w:pPr>
        <w:rPr>
          <w:rFonts w:hint="default"/>
          <w:b w:val="0"/>
          <w:bCs w:val="0"/>
          <w:lang w:val="ru-RU"/>
        </w:rPr>
      </w:pPr>
      <w:r>
        <w:rPr>
          <w:rFonts w:hint="default"/>
          <w:b w:val="0"/>
          <w:bCs w:val="0"/>
          <w:lang w:val="ru-RU"/>
        </w:rPr>
        <w:t>Анализ сырых данных (</w:t>
      </w:r>
      <w:r>
        <w:rPr>
          <w:rFonts w:hint="default"/>
          <w:b w:val="0"/>
          <w:bCs w:val="0"/>
          <w:lang w:val="en-US"/>
        </w:rPr>
        <w:t xml:space="preserve">Fig. ++) </w:t>
      </w:r>
      <w:r>
        <w:rPr>
          <w:rFonts w:hint="default"/>
          <w:b w:val="0"/>
          <w:bCs w:val="0"/>
          <w:lang w:val="ru-RU"/>
        </w:rPr>
        <w:t xml:space="preserve">показал, что мидии зараженные </w:t>
      </w:r>
      <w:r>
        <w:rPr>
          <w:rFonts w:hint="default"/>
          <w:b w:val="0"/>
          <w:bCs w:val="0"/>
          <w:lang w:val="en-US"/>
        </w:rPr>
        <w:t>BTN2</w:t>
      </w:r>
      <w:r>
        <w:rPr>
          <w:rFonts w:hint="default"/>
          <w:b w:val="0"/>
          <w:bCs w:val="0"/>
          <w:lang w:val="ru-RU"/>
        </w:rPr>
        <w:t xml:space="preserve"> демонстрируют несколько более высокое значение прироста последнего года по сравнению с моллюсками, зараженными </w:t>
      </w:r>
      <w:r>
        <w:rPr>
          <w:rFonts w:hint="default"/>
          <w:b w:val="0"/>
          <w:bCs w:val="0"/>
          <w:lang w:val="en-US"/>
        </w:rPr>
        <w:t xml:space="preserve">BTN1, </w:t>
      </w:r>
      <w:r>
        <w:rPr>
          <w:rFonts w:hint="default"/>
          <w:b w:val="0"/>
          <w:bCs w:val="0"/>
          <w:lang w:val="ru-RU"/>
        </w:rPr>
        <w:t xml:space="preserve">и здоровыми особями. Характер распределения величин прироста в двух последних случаях был сходным. </w:t>
      </w:r>
    </w:p>
    <w:p w14:paraId="03A7DE7D">
      <w:pPr>
        <w:rPr>
          <w:rFonts w:hint="default"/>
          <w:b w:val="0"/>
          <w:bCs w:val="0"/>
          <w:lang w:val="ru-RU"/>
        </w:rPr>
      </w:pPr>
      <w:r>
        <w:rPr>
          <w:rFonts w:hint="default"/>
          <w:b w:val="0"/>
          <w:bCs w:val="0"/>
          <w:lang w:val="ru-RU"/>
        </w:rPr>
        <w:t xml:space="preserve">Величина прироста за текущий год была статистически значимо связана с размером моллюска, использованного как ковариата в Модели 3. На фоне влияния этой ковариаты была выявлена значимая связь прироста с фактором </w:t>
      </w:r>
      <w:r>
        <w:rPr>
          <w:rFonts w:hint="default"/>
          <w:b w:val="0"/>
          <w:bCs w:val="0"/>
          <w:lang w:val="en-US"/>
        </w:rPr>
        <w:t>BTN_Type.</w:t>
      </w:r>
      <w:r>
        <w:rPr>
          <w:rFonts w:hint="default"/>
          <w:b w:val="0"/>
          <w:bCs w:val="0"/>
          <w:lang w:val="ru-RU"/>
        </w:rPr>
        <w:t xml:space="preserve"> Анализ значений скорректированных средних прироста для каждой градации этого фактора (</w:t>
      </w:r>
      <w:r>
        <w:rPr>
          <w:rFonts w:hint="default"/>
          <w:b w:val="0"/>
          <w:bCs w:val="0"/>
          <w:lang w:val="en-US"/>
        </w:rPr>
        <w:t>Fig. ++</w:t>
      </w:r>
      <w:r>
        <w:rPr>
          <w:rFonts w:hint="default"/>
          <w:b w:val="0"/>
          <w:bCs w:val="0"/>
          <w:lang w:val="ru-RU"/>
        </w:rPr>
        <w:t xml:space="preserve">) показал, что среднее значеине прироста для моллюсков, зараженных </w:t>
      </w:r>
      <w:r>
        <w:rPr>
          <w:rFonts w:hint="default"/>
          <w:b w:val="0"/>
          <w:bCs w:val="0"/>
          <w:lang w:val="en-US"/>
        </w:rPr>
        <w:t xml:space="preserve">BTN2, </w:t>
      </w:r>
      <w:r>
        <w:rPr>
          <w:rFonts w:hint="default"/>
          <w:b w:val="0"/>
          <w:bCs w:val="0"/>
          <w:lang w:val="ru-RU"/>
        </w:rPr>
        <w:t xml:space="preserve">статистически значимо выше, чем прирост у мидий, зареженных </w:t>
      </w:r>
      <w:r>
        <w:rPr>
          <w:rFonts w:hint="default"/>
          <w:b w:val="0"/>
          <w:bCs w:val="0"/>
          <w:lang w:val="en-US"/>
        </w:rPr>
        <w:t xml:space="preserve">BTN2 </w:t>
      </w:r>
      <w:r>
        <w:rPr>
          <w:rFonts w:hint="default"/>
          <w:b w:val="0"/>
          <w:bCs w:val="0"/>
          <w:lang w:val="ru-RU"/>
        </w:rPr>
        <w:t xml:space="preserve">и здоровых особей. Статистически значимых различия между двумя последними классами не выявлено.    </w:t>
      </w:r>
    </w:p>
    <w:p w14:paraId="0CA6A375">
      <w:pPr>
        <w:rPr>
          <w:rFonts w:hint="default"/>
          <w:b w:val="0"/>
          <w:bCs w:val="0"/>
          <w:lang w:val="ru-RU"/>
        </w:rPr>
      </w:pPr>
    </w:p>
    <w:p w14:paraId="4D741B90">
      <w:pPr>
        <w:pStyle w:val="90"/>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Analysis of raw data (Fig. ++) revealed that mussels infected with BTN2 exhibited a slightly higher last-year growth increment compared to both BTN1-infected and healthy individuals. The distribution of growth increment values was similar between the latter two groups.</w:t>
      </w:r>
    </w:p>
    <w:p w14:paraId="4724A490">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Last-year growth increment was statistically significantly associated with mussel size, which was included as a covariate in Model 3. After accounting for the effect of this covariate, a significant relationship between growth increment and the factor BTN_Type was detected. Analysis of adjusted mean growth increment values for each level of this factor (Fig. ++) showed that the mean increment for BTN2-infected mussels was significantly higher than that for BTN1-infected and healthy mussels. No statistically significant differences were found between the latter two groups.</w:t>
      </w:r>
    </w:p>
    <w:p w14:paraId="3B7EFC81">
      <w:pPr>
        <w:rPr>
          <w:rFonts w:hint="default"/>
          <w:b w:val="0"/>
          <w:bCs w:val="0"/>
          <w:lang w:val="ru-RU"/>
        </w:rPr>
      </w:pPr>
    </w:p>
    <w:p w14:paraId="2E8CDBC4">
      <w:pPr>
        <w:rPr>
          <w:rFonts w:hint="default"/>
          <w:b w:val="0"/>
          <w:bCs w:val="0"/>
          <w:lang w:val="ru-RU"/>
        </w:rPr>
      </w:pPr>
    </w:p>
    <w:p w14:paraId="09C9F032">
      <w:pPr>
        <w:rPr>
          <w:rFonts w:hint="default"/>
          <w:b w:val="0"/>
          <w:bCs w:val="0"/>
          <w:lang w:val="ru-RU"/>
        </w:rPr>
      </w:pPr>
    </w:p>
    <w:p w14:paraId="2BDCE42B">
      <w:pPr>
        <w:rPr>
          <w:rFonts w:hint="default"/>
          <w:b w:val="0"/>
          <w:bCs w:val="0"/>
          <w:lang w:val="ru-RU"/>
        </w:rPr>
      </w:pPr>
    </w:p>
    <w:p w14:paraId="3D41FF61">
      <w:pPr>
        <w:rPr>
          <w:rFonts w:hint="default"/>
          <w:b w:val="0"/>
          <w:bCs w:val="0"/>
          <w:lang w:val="ru-RU"/>
        </w:rPr>
      </w:pPr>
      <w:r>
        <w:drawing>
          <wp:inline distT="0" distB="0" distL="114300" distR="114300">
            <wp:extent cx="5266690" cy="3160395"/>
            <wp:effectExtent l="0" t="0" r="6350" b="9525"/>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2"/>
                    <a:stretch>
                      <a:fillRect/>
                    </a:stretch>
                  </pic:blipFill>
                  <pic:spPr>
                    <a:xfrm>
                      <a:off x="0" y="0"/>
                      <a:ext cx="5266690" cy="3160395"/>
                    </a:xfrm>
                    <a:prstGeom prst="rect">
                      <a:avLst/>
                    </a:prstGeom>
                    <a:noFill/>
                    <a:ln>
                      <a:noFill/>
                    </a:ln>
                  </pic:spPr>
                </pic:pic>
              </a:graphicData>
            </a:graphic>
          </wp:inline>
        </w:drawing>
      </w:r>
    </w:p>
    <w:sectPr>
      <w:pgSz w:w="11906" w:h="16838"/>
      <w:pgMar w:top="1440" w:right="1800" w:bottom="1440" w:left="1800"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Helvetica">
    <w:altName w:val="Arial"/>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35"/>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63"/>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50"/>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88"/>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77"/>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81"/>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84"/>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83"/>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87"/>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82"/>
      <w:lvlText w:val=""/>
      <w:lvlJc w:val="left"/>
      <w:pPr>
        <w:tabs>
          <w:tab w:val="left" w:pos="360"/>
        </w:tabs>
        <w:ind w:left="360" w:hanging="360"/>
      </w:pPr>
      <w:rPr>
        <w:rFonts w:hint="default" w:ascii="Wingdings" w:hAnsi="Wingdings"/>
      </w:rPr>
    </w:lvl>
  </w:abstractNum>
  <w:num w:numId="1">
    <w:abstractNumId w:val="0"/>
  </w:num>
  <w:num w:numId="2">
    <w:abstractNumId w:val="2"/>
  </w:num>
  <w:num w:numId="3">
    <w:abstractNumId w:val="1"/>
  </w:num>
  <w:num w:numId="4">
    <w:abstractNumId w:val="4"/>
  </w:num>
  <w:num w:numId="5">
    <w:abstractNumId w:val="5"/>
  </w:num>
  <w:num w:numId="6">
    <w:abstractNumId w:val="9"/>
  </w:num>
  <w:num w:numId="7">
    <w:abstractNumId w:val="7"/>
  </w:num>
  <w:num w:numId="8">
    <w:abstractNumId w:val="6"/>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383F74"/>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91715"/>
    <w:rsid w:val="00EC24C6"/>
    <w:rsid w:val="00EF2933"/>
    <w:rsid w:val="00F05146"/>
    <w:rsid w:val="00F1115D"/>
    <w:rsid w:val="00F3513C"/>
    <w:rsid w:val="00F465C5"/>
    <w:rsid w:val="00F5180D"/>
    <w:rsid w:val="00F51B21"/>
    <w:rsid w:val="00F51D87"/>
    <w:rsid w:val="00F8455C"/>
    <w:rsid w:val="088005EC"/>
    <w:rsid w:val="09C2553B"/>
    <w:rsid w:val="13A260BC"/>
    <w:rsid w:val="2E383F74"/>
    <w:rsid w:val="391B30B1"/>
    <w:rsid w:val="3A0A08C7"/>
    <w:rsid w:val="3A5B4A05"/>
    <w:rsid w:val="3D2E204C"/>
    <w:rsid w:val="40316764"/>
    <w:rsid w:val="4B32292F"/>
    <w:rsid w:val="4DC82D45"/>
    <w:rsid w:val="50225E22"/>
    <w:rsid w:val="552E3A44"/>
    <w:rsid w:val="571A361F"/>
    <w:rsid w:val="6A8F5933"/>
    <w:rsid w:val="71511E5F"/>
    <w:rsid w:val="719F7B15"/>
    <w:rsid w:val="7F2C5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ind w:firstLine="641" w:firstLineChars="200"/>
      <w:jc w:val="both"/>
    </w:pPr>
    <w:rPr>
      <w:rFonts w:asciiTheme="minorAscii" w:hAnsiTheme="minorAscii" w:eastAsiaTheme="minorEastAsia" w:cstheme="minorBidi"/>
      <w:sz w:val="24"/>
      <w:lang w:val="en-US" w:eastAsia="zh-CN" w:bidi="ar-SA"/>
    </w:rPr>
  </w:style>
  <w:style w:type="paragraph" w:styleId="2">
    <w:name w:val="heading 1"/>
    <w:basedOn w:val="1"/>
    <w:next w:val="3"/>
    <w:qFormat/>
    <w:uiPriority w:val="0"/>
    <w:pPr>
      <w:keepNext/>
      <w:keepLines/>
      <w:spacing w:before="480" w:after="0"/>
      <w:jc w:val="center"/>
      <w:outlineLvl w:val="0"/>
    </w:pPr>
    <w:rPr>
      <w:rFonts w:asciiTheme="majorAscii" w:hAnsiTheme="majorAscii" w:eastAsiaTheme="majorEastAsia" w:cstheme="majorBidi"/>
      <w:b/>
      <w:bCs/>
      <w:color w:val="000000" w:themeColor="text1"/>
      <w:sz w:val="28"/>
      <w:szCs w:val="32"/>
      <w:lang w:eastAsia="en-US"/>
      <w14:textFill>
        <w14:solidFill>
          <w14:schemeClr w14:val="tx1"/>
        </w14:solidFill>
      </w14:textFill>
    </w:rPr>
  </w:style>
  <w:style w:type="paragraph" w:styleId="4">
    <w:name w:val="heading 2"/>
    <w:basedOn w:val="1"/>
    <w:next w:val="3"/>
    <w:link w:val="151"/>
    <w:semiHidden/>
    <w:unhideWhenUsed/>
    <w:qFormat/>
    <w:uiPriority w:val="0"/>
    <w:pPr>
      <w:keepNext/>
      <w:keepLines/>
      <w:spacing w:before="200" w:after="0"/>
      <w:jc w:val="center"/>
      <w:outlineLvl w:val="1"/>
    </w:pPr>
    <w:rPr>
      <w:rFonts w:asciiTheme="majorAscii" w:hAnsiTheme="majorAscii" w:eastAsiaTheme="majorEastAsia" w:cstheme="majorBidi"/>
      <w:b/>
      <w:bCs/>
      <w:i/>
      <w:color w:val="000000" w:themeColor="text1"/>
      <w:szCs w:val="24"/>
      <w:lang w:eastAsia="en-US"/>
      <w14:textFill>
        <w14:solidFill>
          <w14:schemeClr w14:val="tx1"/>
        </w14:solidFill>
      </w14:textFill>
    </w:rPr>
  </w:style>
  <w:style w:type="paragraph" w:styleId="5">
    <w:name w:val="heading 3"/>
    <w:basedOn w:val="1"/>
    <w:next w:val="1"/>
    <w:semiHidden/>
    <w:unhideWhenUsed/>
    <w:qFormat/>
    <w:uiPriority w:val="0"/>
    <w:pPr>
      <w:keepNext/>
      <w:widowControl/>
      <w:spacing w:before="240" w:after="60"/>
      <w:jc w:val="left"/>
      <w:outlineLvl w:val="2"/>
    </w:pPr>
    <w:rPr>
      <w:rFonts w:ascii="Arial" w:hAnsi="Arial" w:cs="Arial"/>
      <w:b/>
      <w:bCs/>
      <w:kern w:val="0"/>
      <w:sz w:val="26"/>
      <w:szCs w:val="26"/>
    </w:rPr>
  </w:style>
  <w:style w:type="paragraph" w:styleId="6">
    <w:name w:val="heading 4"/>
    <w:basedOn w:val="1"/>
    <w:next w:val="1"/>
    <w:semiHidden/>
    <w:unhideWhenUsed/>
    <w:qFormat/>
    <w:uiPriority w:val="0"/>
    <w:pPr>
      <w:keepNext/>
      <w:widowControl/>
      <w:spacing w:before="240" w:after="60"/>
      <w:jc w:val="left"/>
      <w:outlineLvl w:val="3"/>
    </w:pPr>
    <w:rPr>
      <w:b/>
      <w:bCs/>
      <w:kern w:val="0"/>
      <w:sz w:val="28"/>
      <w:szCs w:val="28"/>
    </w:rPr>
  </w:style>
  <w:style w:type="paragraph" w:styleId="7">
    <w:name w:val="heading 5"/>
    <w:basedOn w:val="1"/>
    <w:next w:val="1"/>
    <w:semiHidden/>
    <w:unhideWhenUsed/>
    <w:qFormat/>
    <w:uiPriority w:val="0"/>
    <w:pPr>
      <w:widowControl/>
      <w:spacing w:before="240" w:after="60"/>
      <w:jc w:val="left"/>
      <w:outlineLvl w:val="4"/>
    </w:pPr>
    <w:rPr>
      <w:b/>
      <w:bCs/>
      <w:i/>
      <w:iCs/>
      <w:kern w:val="0"/>
      <w:sz w:val="26"/>
      <w:szCs w:val="26"/>
    </w:rPr>
  </w:style>
  <w:style w:type="paragraph" w:styleId="8">
    <w:name w:val="heading 6"/>
    <w:basedOn w:val="1"/>
    <w:next w:val="3"/>
    <w:semiHidden/>
    <w:unhideWhenUsed/>
    <w:qFormat/>
    <w:uiPriority w:val="0"/>
    <w:pPr>
      <w:keepNext/>
      <w:keepLines/>
      <w:spacing w:before="200" w:after="0"/>
      <w:jc w:val="both"/>
      <w:outlineLvl w:val="5"/>
    </w:pPr>
    <w:rPr>
      <w:rFonts w:asciiTheme="majorAscii" w:hAnsiTheme="majorAscii" w:eastAsiaTheme="majorEastAsia" w:cstheme="majorBidi"/>
      <w:color w:val="000000" w:themeColor="text1"/>
      <w:sz w:val="20"/>
      <w:szCs w:val="24"/>
      <w:lang w:eastAsia="en-US"/>
      <w14:textFill>
        <w14:solidFill>
          <w14:schemeClr w14:val="tx1"/>
        </w14:solidFill>
      </w14:textFill>
    </w:rPr>
  </w:style>
  <w:style w:type="paragraph" w:styleId="9">
    <w:name w:val="heading 7"/>
    <w:basedOn w:val="1"/>
    <w:next w:val="1"/>
    <w:semiHidden/>
    <w:unhideWhenUsed/>
    <w:qFormat/>
    <w:uiPriority w:val="0"/>
    <w:pPr>
      <w:widowControl/>
      <w:spacing w:before="240" w:after="60"/>
      <w:outlineLvl w:val="6"/>
    </w:pPr>
    <w:rPr>
      <w:kern w:val="0"/>
      <w:sz w:val="24"/>
      <w:szCs w:val="24"/>
    </w:rPr>
  </w:style>
  <w:style w:type="paragraph" w:styleId="10">
    <w:name w:val="heading 8"/>
    <w:basedOn w:val="1"/>
    <w:next w:val="1"/>
    <w:semiHidden/>
    <w:unhideWhenUsed/>
    <w:qFormat/>
    <w:uiPriority w:val="0"/>
    <w:pPr>
      <w:widowControl/>
      <w:spacing w:before="240" w:after="60"/>
      <w:jc w:val="left"/>
      <w:outlineLvl w:val="7"/>
    </w:pPr>
    <w:rPr>
      <w:i/>
      <w:iCs/>
      <w:kern w:val="0"/>
      <w:sz w:val="24"/>
      <w:szCs w:val="24"/>
    </w:rPr>
  </w:style>
  <w:style w:type="paragraph" w:styleId="11">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2">
    <w:name w:val="Default Paragraph Font"/>
    <w:semiHidden/>
    <w:unhideWhenUsed/>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Body Text"/>
    <w:basedOn w:val="1"/>
    <w:link w:val="152"/>
    <w:qFormat/>
    <w:uiPriority w:val="0"/>
    <w:pPr>
      <w:spacing w:before="0" w:after="140" w:line="276" w:lineRule="auto"/>
      <w:jc w:val="both"/>
    </w:pPr>
    <w:rPr>
      <w:rFonts w:ascii="Arial" w:hAnsi="Arial" w:eastAsia="NSimSun" w:cs="Lucida Sans"/>
      <w:color w:val="auto"/>
      <w:kern w:val="2"/>
      <w:szCs w:val="24"/>
      <w:lang w:val="ru-RU" w:bidi="hi-IN"/>
    </w:rPr>
  </w:style>
  <w:style w:type="character" w:styleId="14">
    <w:name w:val="HTML Sample"/>
    <w:basedOn w:val="12"/>
    <w:autoRedefine/>
    <w:qFormat/>
    <w:uiPriority w:val="0"/>
    <w:rPr>
      <w:rFonts w:ascii="Courier New" w:hAnsi="Courier New" w:cs="Courier New"/>
    </w:rPr>
  </w:style>
  <w:style w:type="character" w:styleId="15">
    <w:name w:val="FollowedHyperlink"/>
    <w:basedOn w:val="12"/>
    <w:autoRedefine/>
    <w:qFormat/>
    <w:uiPriority w:val="0"/>
    <w:rPr>
      <w:color w:val="800080"/>
      <w:u w:val="single"/>
    </w:rPr>
  </w:style>
  <w:style w:type="character" w:styleId="16">
    <w:name w:val="footnote reference"/>
    <w:basedOn w:val="12"/>
    <w:autoRedefine/>
    <w:qFormat/>
    <w:uiPriority w:val="0"/>
    <w:rPr>
      <w:vertAlign w:val="superscript"/>
    </w:rPr>
  </w:style>
  <w:style w:type="character" w:styleId="17">
    <w:name w:val="annotation reference"/>
    <w:basedOn w:val="12"/>
    <w:autoRedefine/>
    <w:qFormat/>
    <w:uiPriority w:val="0"/>
    <w:rPr>
      <w:sz w:val="21"/>
      <w:szCs w:val="21"/>
    </w:rPr>
  </w:style>
  <w:style w:type="character" w:styleId="18">
    <w:name w:val="endnote reference"/>
    <w:basedOn w:val="12"/>
    <w:autoRedefine/>
    <w:qFormat/>
    <w:uiPriority w:val="0"/>
    <w:rPr>
      <w:vertAlign w:val="superscript"/>
    </w:rPr>
  </w:style>
  <w:style w:type="character" w:styleId="19">
    <w:name w:val="HTML Acronym"/>
    <w:basedOn w:val="12"/>
    <w:autoRedefine/>
    <w:qFormat/>
    <w:uiPriority w:val="0"/>
  </w:style>
  <w:style w:type="character" w:styleId="20">
    <w:name w:val="Emphasis"/>
    <w:basedOn w:val="12"/>
    <w:autoRedefine/>
    <w:qFormat/>
    <w:uiPriority w:val="0"/>
    <w:rPr>
      <w:i/>
      <w:iCs/>
    </w:rPr>
  </w:style>
  <w:style w:type="character" w:styleId="21">
    <w:name w:val="Hyperlink"/>
    <w:basedOn w:val="12"/>
    <w:autoRedefine/>
    <w:qFormat/>
    <w:uiPriority w:val="0"/>
    <w:rPr>
      <w:color w:val="0000FF"/>
      <w:u w:val="single"/>
    </w:rPr>
  </w:style>
  <w:style w:type="character" w:styleId="22">
    <w:name w:val="HTML Keyboard"/>
    <w:basedOn w:val="12"/>
    <w:qFormat/>
    <w:uiPriority w:val="0"/>
    <w:rPr>
      <w:rFonts w:ascii="Courier New" w:hAnsi="Courier New" w:cs="Courier New"/>
      <w:sz w:val="20"/>
      <w:szCs w:val="20"/>
    </w:rPr>
  </w:style>
  <w:style w:type="character" w:styleId="23">
    <w:name w:val="HTML Code"/>
    <w:basedOn w:val="12"/>
    <w:autoRedefine/>
    <w:qFormat/>
    <w:uiPriority w:val="0"/>
    <w:rPr>
      <w:rFonts w:ascii="Courier New" w:hAnsi="Courier New" w:cs="Courier New"/>
      <w:sz w:val="20"/>
      <w:szCs w:val="20"/>
    </w:rPr>
  </w:style>
  <w:style w:type="character" w:styleId="24">
    <w:name w:val="page number"/>
    <w:basedOn w:val="12"/>
    <w:autoRedefine/>
    <w:qFormat/>
    <w:uiPriority w:val="0"/>
  </w:style>
  <w:style w:type="character" w:styleId="25">
    <w:name w:val="line number"/>
    <w:basedOn w:val="12"/>
    <w:qFormat/>
    <w:uiPriority w:val="0"/>
  </w:style>
  <w:style w:type="character" w:styleId="26">
    <w:name w:val="HTML Definition"/>
    <w:basedOn w:val="12"/>
    <w:autoRedefine/>
    <w:qFormat/>
    <w:uiPriority w:val="0"/>
    <w:rPr>
      <w:i/>
      <w:iCs/>
    </w:rPr>
  </w:style>
  <w:style w:type="character" w:styleId="27">
    <w:name w:val="HTML Variable"/>
    <w:basedOn w:val="12"/>
    <w:qFormat/>
    <w:uiPriority w:val="0"/>
    <w:rPr>
      <w:i/>
      <w:iCs/>
    </w:rPr>
  </w:style>
  <w:style w:type="character" w:styleId="28">
    <w:name w:val="HTML Typewriter"/>
    <w:basedOn w:val="12"/>
    <w:autoRedefine/>
    <w:qFormat/>
    <w:uiPriority w:val="0"/>
    <w:rPr>
      <w:rFonts w:ascii="Courier New" w:hAnsi="Courier New" w:cs="Courier New"/>
      <w:sz w:val="20"/>
      <w:szCs w:val="20"/>
    </w:rPr>
  </w:style>
  <w:style w:type="character" w:styleId="29">
    <w:name w:val="Strong"/>
    <w:basedOn w:val="12"/>
    <w:qFormat/>
    <w:uiPriority w:val="0"/>
    <w:rPr>
      <w:b/>
      <w:bCs/>
    </w:rPr>
  </w:style>
  <w:style w:type="character" w:styleId="30">
    <w:name w:val="HTML Cite"/>
    <w:basedOn w:val="12"/>
    <w:autoRedefine/>
    <w:qFormat/>
    <w:uiPriority w:val="0"/>
    <w:rPr>
      <w:i/>
      <w:iCs/>
    </w:rPr>
  </w:style>
  <w:style w:type="paragraph" w:styleId="31">
    <w:name w:val="Balloon Text"/>
    <w:basedOn w:val="1"/>
    <w:autoRedefine/>
    <w:qFormat/>
    <w:uiPriority w:val="0"/>
    <w:rPr>
      <w:sz w:val="16"/>
      <w:szCs w:val="16"/>
    </w:rPr>
  </w:style>
  <w:style w:type="paragraph" w:styleId="32">
    <w:name w:val="List 5"/>
    <w:basedOn w:val="1"/>
    <w:autoRedefine/>
    <w:qFormat/>
    <w:uiPriority w:val="0"/>
    <w:pPr>
      <w:ind w:left="1800" w:hanging="360"/>
    </w:pPr>
  </w:style>
  <w:style w:type="paragraph" w:styleId="33">
    <w:name w:val="List Continue"/>
    <w:basedOn w:val="1"/>
    <w:autoRedefine/>
    <w:qFormat/>
    <w:uiPriority w:val="0"/>
    <w:pPr>
      <w:spacing w:after="120"/>
      <w:ind w:left="360"/>
    </w:pPr>
  </w:style>
  <w:style w:type="paragraph" w:styleId="34">
    <w:name w:val="Body Text 2"/>
    <w:basedOn w:val="1"/>
    <w:qFormat/>
    <w:uiPriority w:val="0"/>
    <w:pPr>
      <w:spacing w:after="120" w:line="480" w:lineRule="auto"/>
    </w:pPr>
  </w:style>
  <w:style w:type="paragraph" w:styleId="35">
    <w:name w:val="List Number 5"/>
    <w:basedOn w:val="1"/>
    <w:qFormat/>
    <w:uiPriority w:val="0"/>
    <w:pPr>
      <w:numPr>
        <w:ilvl w:val="0"/>
        <w:numId w:val="1"/>
      </w:numPr>
    </w:pPr>
  </w:style>
  <w:style w:type="paragraph" w:styleId="36">
    <w:name w:val="Closing"/>
    <w:basedOn w:val="1"/>
    <w:autoRedefine/>
    <w:qFormat/>
    <w:uiPriority w:val="0"/>
    <w:pPr>
      <w:ind w:left="4320"/>
    </w:pPr>
  </w:style>
  <w:style w:type="paragraph" w:styleId="37">
    <w:name w:val="Normal Indent"/>
    <w:basedOn w:val="1"/>
    <w:autoRedefine/>
    <w:qFormat/>
    <w:uiPriority w:val="0"/>
    <w:pPr>
      <w:ind w:left="708"/>
    </w:pPr>
  </w:style>
  <w:style w:type="paragraph" w:styleId="38">
    <w:name w:val="envelope return"/>
    <w:basedOn w:val="1"/>
    <w:uiPriority w:val="0"/>
    <w:rPr>
      <w:rFonts w:ascii="Arial" w:hAnsi="Arial" w:cs="Arial"/>
      <w:sz w:val="20"/>
    </w:rPr>
  </w:style>
  <w:style w:type="paragraph" w:styleId="39">
    <w:name w:val="Plain Text"/>
    <w:basedOn w:val="1"/>
    <w:qFormat/>
    <w:uiPriority w:val="0"/>
    <w:rPr>
      <w:rFonts w:ascii="Courier New" w:hAnsi="Courier New" w:cs="Courier New"/>
      <w:sz w:val="20"/>
    </w:rPr>
  </w:style>
  <w:style w:type="paragraph" w:styleId="40">
    <w:name w:val="Body Text Indent 3"/>
    <w:basedOn w:val="1"/>
    <w:qFormat/>
    <w:uiPriority w:val="0"/>
    <w:pPr>
      <w:spacing w:after="120"/>
      <w:ind w:left="360"/>
    </w:pPr>
    <w:rPr>
      <w:sz w:val="16"/>
      <w:szCs w:val="16"/>
    </w:rPr>
  </w:style>
  <w:style w:type="paragraph" w:styleId="41">
    <w:name w:val="endnote text"/>
    <w:basedOn w:val="1"/>
    <w:qFormat/>
    <w:uiPriority w:val="0"/>
    <w:pPr>
      <w:snapToGrid w:val="0"/>
      <w:jc w:val="left"/>
    </w:pPr>
  </w:style>
  <w:style w:type="paragraph" w:styleId="42">
    <w:name w:val="caption"/>
    <w:basedOn w:val="1"/>
    <w:next w:val="1"/>
    <w:semiHidden/>
    <w:unhideWhenUsed/>
    <w:qFormat/>
    <w:uiPriority w:val="0"/>
    <w:rPr>
      <w:rFonts w:ascii="Arial" w:hAnsi="Arial" w:eastAsia="黑体" w:cs="Arial"/>
      <w:sz w:val="20"/>
    </w:rPr>
  </w:style>
  <w:style w:type="paragraph" w:styleId="43">
    <w:name w:val="annotation text"/>
    <w:basedOn w:val="1"/>
    <w:uiPriority w:val="0"/>
    <w:pPr>
      <w:jc w:val="left"/>
    </w:pPr>
  </w:style>
  <w:style w:type="paragraph" w:styleId="44">
    <w:name w:val="index 1"/>
    <w:basedOn w:val="1"/>
    <w:next w:val="1"/>
    <w:qFormat/>
    <w:uiPriority w:val="0"/>
  </w:style>
  <w:style w:type="paragraph" w:styleId="45">
    <w:name w:val="annotation subject"/>
    <w:basedOn w:val="43"/>
    <w:next w:val="43"/>
    <w:qFormat/>
    <w:uiPriority w:val="0"/>
    <w:rPr>
      <w:b/>
      <w:bCs/>
    </w:rPr>
  </w:style>
  <w:style w:type="paragraph" w:styleId="46">
    <w:name w:val="Document Map"/>
    <w:basedOn w:val="1"/>
    <w:qFormat/>
    <w:uiPriority w:val="0"/>
    <w:pPr>
      <w:shd w:val="clear" w:color="auto" w:fill="000080"/>
    </w:pPr>
  </w:style>
  <w:style w:type="paragraph" w:styleId="47">
    <w:name w:val="footnote text"/>
    <w:basedOn w:val="1"/>
    <w:qFormat/>
    <w:uiPriority w:val="0"/>
    <w:pPr>
      <w:snapToGrid w:val="0"/>
      <w:jc w:val="left"/>
    </w:pPr>
    <w:rPr>
      <w:sz w:val="18"/>
      <w:szCs w:val="18"/>
    </w:rPr>
  </w:style>
  <w:style w:type="paragraph" w:styleId="48">
    <w:name w:val="toc 8"/>
    <w:basedOn w:val="1"/>
    <w:next w:val="1"/>
    <w:qFormat/>
    <w:uiPriority w:val="0"/>
    <w:pPr>
      <w:ind w:left="2940" w:leftChars="1400"/>
    </w:pPr>
  </w:style>
  <w:style w:type="paragraph" w:styleId="49">
    <w:name w:val="index 2"/>
    <w:basedOn w:val="1"/>
    <w:next w:val="1"/>
    <w:qFormat/>
    <w:uiPriority w:val="0"/>
    <w:pPr>
      <w:ind w:left="200" w:leftChars="200"/>
    </w:pPr>
  </w:style>
  <w:style w:type="paragraph" w:styleId="50">
    <w:name w:val="List Number 3"/>
    <w:basedOn w:val="1"/>
    <w:qFormat/>
    <w:uiPriority w:val="0"/>
    <w:pPr>
      <w:numPr>
        <w:ilvl w:val="0"/>
        <w:numId w:val="2"/>
      </w:numPr>
    </w:pPr>
  </w:style>
  <w:style w:type="paragraph" w:styleId="51">
    <w:name w:val="HTML Address"/>
    <w:basedOn w:val="1"/>
    <w:qFormat/>
    <w:uiPriority w:val="0"/>
    <w:rPr>
      <w:i/>
      <w:iCs/>
    </w:rPr>
  </w:style>
  <w:style w:type="paragraph" w:styleId="52">
    <w:name w:val="index 7"/>
    <w:basedOn w:val="1"/>
    <w:next w:val="1"/>
    <w:qFormat/>
    <w:uiPriority w:val="0"/>
    <w:pPr>
      <w:ind w:left="1200" w:leftChars="1200"/>
    </w:pPr>
  </w:style>
  <w:style w:type="paragraph" w:styleId="53">
    <w:name w:val="index 3"/>
    <w:basedOn w:val="1"/>
    <w:next w:val="1"/>
    <w:qFormat/>
    <w:uiPriority w:val="0"/>
    <w:pPr>
      <w:ind w:left="400" w:leftChars="400"/>
    </w:pPr>
  </w:style>
  <w:style w:type="paragraph" w:styleId="54">
    <w:name w:val="index 5"/>
    <w:basedOn w:val="1"/>
    <w:next w:val="1"/>
    <w:qFormat/>
    <w:uiPriority w:val="0"/>
    <w:pPr>
      <w:ind w:left="800" w:leftChars="800"/>
    </w:pPr>
  </w:style>
  <w:style w:type="paragraph" w:styleId="55">
    <w:name w:val="index 4"/>
    <w:basedOn w:val="1"/>
    <w:next w:val="1"/>
    <w:qFormat/>
    <w:uiPriority w:val="0"/>
    <w:pPr>
      <w:ind w:left="600" w:leftChars="600"/>
    </w:pPr>
  </w:style>
  <w:style w:type="paragraph" w:styleId="56">
    <w:name w:val="header"/>
    <w:basedOn w:val="1"/>
    <w:qFormat/>
    <w:uiPriority w:val="0"/>
    <w:pPr>
      <w:tabs>
        <w:tab w:val="center" w:pos="4153"/>
        <w:tab w:val="right" w:pos="8306"/>
      </w:tabs>
    </w:pPr>
  </w:style>
  <w:style w:type="paragraph" w:styleId="57">
    <w:name w:val="toc 9"/>
    <w:basedOn w:val="1"/>
    <w:next w:val="1"/>
    <w:qFormat/>
    <w:uiPriority w:val="0"/>
    <w:pPr>
      <w:ind w:left="3360" w:leftChars="1600"/>
    </w:pPr>
  </w:style>
  <w:style w:type="paragraph" w:styleId="58">
    <w:name w:val="toc 7"/>
    <w:basedOn w:val="1"/>
    <w:next w:val="1"/>
    <w:qFormat/>
    <w:uiPriority w:val="0"/>
    <w:pPr>
      <w:ind w:left="2520" w:leftChars="1200"/>
    </w:pPr>
  </w:style>
  <w:style w:type="paragraph" w:styleId="59">
    <w:name w:val="index 6"/>
    <w:basedOn w:val="1"/>
    <w:next w:val="1"/>
    <w:qFormat/>
    <w:uiPriority w:val="0"/>
    <w:pPr>
      <w:ind w:left="1000" w:leftChars="1000"/>
    </w:pPr>
  </w:style>
  <w:style w:type="paragraph" w:styleId="60">
    <w:name w:val="envelope address"/>
    <w:basedOn w:val="1"/>
    <w:qFormat/>
    <w:uiPriority w:val="0"/>
    <w:pPr>
      <w:framePr w:w="7920" w:h="1980" w:hRule="exact" w:hSpace="180" w:wrap="around" w:vAnchor="margin" w:hAnchor="page" w:xAlign="center" w:yAlign="bottom"/>
      <w:ind w:left="2880"/>
    </w:pPr>
    <w:rPr>
      <w:rFonts w:ascii="Arial" w:hAnsi="Arial" w:cs="Arial"/>
      <w:sz w:val="24"/>
      <w:szCs w:val="24"/>
    </w:rPr>
  </w:style>
  <w:style w:type="paragraph" w:styleId="61">
    <w:name w:val="index 8"/>
    <w:basedOn w:val="1"/>
    <w:next w:val="1"/>
    <w:qFormat/>
    <w:uiPriority w:val="0"/>
    <w:pPr>
      <w:ind w:left="1400" w:leftChars="1400"/>
    </w:pPr>
  </w:style>
  <w:style w:type="paragraph" w:styleId="62">
    <w:name w:val="index 9"/>
    <w:basedOn w:val="1"/>
    <w:next w:val="1"/>
    <w:qFormat/>
    <w:uiPriority w:val="0"/>
    <w:pPr>
      <w:ind w:left="1600" w:leftChars="1600"/>
    </w:pPr>
  </w:style>
  <w:style w:type="paragraph" w:styleId="63">
    <w:name w:val="List Number 4"/>
    <w:basedOn w:val="1"/>
    <w:qFormat/>
    <w:uiPriority w:val="0"/>
    <w:pPr>
      <w:numPr>
        <w:ilvl w:val="0"/>
        <w:numId w:val="3"/>
      </w:numPr>
    </w:pPr>
  </w:style>
  <w:style w:type="paragraph" w:styleId="64">
    <w:name w:val="toa heading"/>
    <w:basedOn w:val="1"/>
    <w:next w:val="1"/>
    <w:qFormat/>
    <w:uiPriority w:val="0"/>
    <w:pPr>
      <w:spacing w:before="120"/>
    </w:pPr>
    <w:rPr>
      <w:rFonts w:ascii="Arial" w:hAnsi="Arial" w:cs="Arial"/>
      <w:sz w:val="24"/>
      <w:szCs w:val="24"/>
    </w:rPr>
  </w:style>
  <w:style w:type="paragraph" w:styleId="65">
    <w:name w:val="index heading"/>
    <w:basedOn w:val="1"/>
    <w:next w:val="44"/>
    <w:qFormat/>
    <w:uiPriority w:val="0"/>
    <w:rPr>
      <w:rFonts w:ascii="Arial" w:hAnsi="Arial" w:cs="Arial"/>
      <w:b/>
      <w:bCs/>
    </w:rPr>
  </w:style>
  <w:style w:type="paragraph" w:styleId="66">
    <w:name w:val="toc 1"/>
    <w:basedOn w:val="1"/>
    <w:next w:val="1"/>
    <w:qFormat/>
    <w:uiPriority w:val="0"/>
  </w:style>
  <w:style w:type="paragraph" w:styleId="67">
    <w:name w:val="table of authorities"/>
    <w:basedOn w:val="1"/>
    <w:next w:val="1"/>
    <w:uiPriority w:val="0"/>
    <w:pPr>
      <w:ind w:left="420" w:leftChars="200"/>
    </w:pPr>
  </w:style>
  <w:style w:type="paragraph" w:styleId="68">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69">
    <w:name w:val="toc 6"/>
    <w:basedOn w:val="1"/>
    <w:next w:val="1"/>
    <w:qFormat/>
    <w:uiPriority w:val="0"/>
    <w:pPr>
      <w:ind w:left="2100" w:leftChars="1000"/>
    </w:pPr>
  </w:style>
  <w:style w:type="paragraph" w:styleId="70">
    <w:name w:val="table of figures"/>
    <w:basedOn w:val="1"/>
    <w:next w:val="1"/>
    <w:qFormat/>
    <w:uiPriority w:val="0"/>
    <w:pPr>
      <w:ind w:leftChars="200" w:hanging="200" w:hangingChars="200"/>
    </w:pPr>
  </w:style>
  <w:style w:type="paragraph" w:styleId="71">
    <w:name w:val="toc 3"/>
    <w:basedOn w:val="1"/>
    <w:next w:val="1"/>
    <w:qFormat/>
    <w:uiPriority w:val="0"/>
    <w:pPr>
      <w:ind w:left="840" w:leftChars="400"/>
    </w:pPr>
  </w:style>
  <w:style w:type="paragraph" w:styleId="72">
    <w:name w:val="toc 2"/>
    <w:basedOn w:val="1"/>
    <w:next w:val="1"/>
    <w:qFormat/>
    <w:uiPriority w:val="0"/>
    <w:pPr>
      <w:ind w:left="420" w:leftChars="200"/>
    </w:pPr>
  </w:style>
  <w:style w:type="paragraph" w:styleId="73">
    <w:name w:val="toc 4"/>
    <w:basedOn w:val="1"/>
    <w:next w:val="1"/>
    <w:qFormat/>
    <w:uiPriority w:val="0"/>
    <w:pPr>
      <w:ind w:left="1260" w:leftChars="600"/>
    </w:pPr>
  </w:style>
  <w:style w:type="paragraph" w:styleId="74">
    <w:name w:val="toc 5"/>
    <w:basedOn w:val="1"/>
    <w:next w:val="1"/>
    <w:qFormat/>
    <w:uiPriority w:val="0"/>
    <w:pPr>
      <w:ind w:left="1680" w:leftChars="800"/>
    </w:pPr>
  </w:style>
  <w:style w:type="paragraph" w:styleId="75">
    <w:name w:val="Note Heading"/>
    <w:basedOn w:val="1"/>
    <w:next w:val="1"/>
    <w:qFormat/>
    <w:uiPriority w:val="0"/>
  </w:style>
  <w:style w:type="paragraph" w:styleId="76">
    <w:name w:val="Date"/>
    <w:basedOn w:val="1"/>
    <w:next w:val="1"/>
    <w:qFormat/>
    <w:uiPriority w:val="0"/>
  </w:style>
  <w:style w:type="paragraph" w:styleId="77">
    <w:name w:val="List Bullet 5"/>
    <w:basedOn w:val="1"/>
    <w:uiPriority w:val="0"/>
    <w:pPr>
      <w:numPr>
        <w:ilvl w:val="0"/>
        <w:numId w:val="4"/>
      </w:numPr>
    </w:pPr>
  </w:style>
  <w:style w:type="paragraph" w:styleId="78">
    <w:name w:val="Body Text First Indent"/>
    <w:basedOn w:val="3"/>
    <w:qFormat/>
    <w:uiPriority w:val="0"/>
    <w:pPr>
      <w:ind w:firstLine="210"/>
    </w:pPr>
  </w:style>
  <w:style w:type="paragraph" w:styleId="79">
    <w:name w:val="Body Text First Indent 2"/>
    <w:basedOn w:val="80"/>
    <w:uiPriority w:val="0"/>
    <w:pPr>
      <w:ind w:firstLine="210"/>
    </w:pPr>
  </w:style>
  <w:style w:type="paragraph" w:styleId="80">
    <w:name w:val="Body Text Indent"/>
    <w:basedOn w:val="1"/>
    <w:qFormat/>
    <w:uiPriority w:val="0"/>
    <w:pPr>
      <w:spacing w:after="120"/>
      <w:ind w:left="360"/>
    </w:pPr>
  </w:style>
  <w:style w:type="paragraph" w:styleId="81">
    <w:name w:val="List Bullet 4"/>
    <w:basedOn w:val="1"/>
    <w:qFormat/>
    <w:uiPriority w:val="0"/>
    <w:pPr>
      <w:numPr>
        <w:ilvl w:val="0"/>
        <w:numId w:val="5"/>
      </w:numPr>
    </w:pPr>
  </w:style>
  <w:style w:type="paragraph" w:styleId="82">
    <w:name w:val="List Bullet"/>
    <w:basedOn w:val="1"/>
    <w:qFormat/>
    <w:uiPriority w:val="0"/>
    <w:pPr>
      <w:numPr>
        <w:ilvl w:val="0"/>
        <w:numId w:val="6"/>
      </w:numPr>
    </w:pPr>
  </w:style>
  <w:style w:type="paragraph" w:styleId="83">
    <w:name w:val="List Bullet 2"/>
    <w:basedOn w:val="1"/>
    <w:qFormat/>
    <w:uiPriority w:val="0"/>
    <w:pPr>
      <w:numPr>
        <w:ilvl w:val="0"/>
        <w:numId w:val="7"/>
      </w:numPr>
    </w:pPr>
  </w:style>
  <w:style w:type="paragraph" w:styleId="84">
    <w:name w:val="List Bullet 3"/>
    <w:basedOn w:val="1"/>
    <w:qFormat/>
    <w:uiPriority w:val="0"/>
    <w:pPr>
      <w:numPr>
        <w:ilvl w:val="0"/>
        <w:numId w:val="8"/>
      </w:numPr>
    </w:pPr>
  </w:style>
  <w:style w:type="paragraph" w:styleId="85">
    <w:name w:val="Title"/>
    <w:basedOn w:val="1"/>
    <w:next w:val="3"/>
    <w:qFormat/>
    <w:uiPriority w:val="0"/>
    <w:pPr>
      <w:keepNext/>
      <w:keepLines/>
      <w:spacing w:before="480" w:after="240"/>
      <w:jc w:val="center"/>
    </w:pPr>
    <w:rPr>
      <w:rFonts w:asciiTheme="majorAscii" w:hAnsiTheme="majorAscii" w:eastAsiaTheme="majorEastAsia" w:cstheme="majorBidi"/>
      <w:b/>
      <w:bCs/>
      <w:color w:val="000000" w:themeColor="text1"/>
      <w:sz w:val="36"/>
      <w:szCs w:val="36"/>
      <w:lang w:eastAsia="en-US"/>
      <w14:textFill>
        <w14:solidFill>
          <w14:schemeClr w14:val="tx1"/>
        </w14:solidFill>
      </w14:textFill>
    </w:rPr>
  </w:style>
  <w:style w:type="paragraph" w:styleId="86">
    <w:name w:val="footer"/>
    <w:basedOn w:val="1"/>
    <w:uiPriority w:val="0"/>
    <w:pPr>
      <w:tabs>
        <w:tab w:val="center" w:pos="4153"/>
        <w:tab w:val="right" w:pos="8306"/>
      </w:tabs>
    </w:pPr>
  </w:style>
  <w:style w:type="paragraph" w:styleId="87">
    <w:name w:val="List Number"/>
    <w:basedOn w:val="1"/>
    <w:qFormat/>
    <w:uiPriority w:val="0"/>
    <w:pPr>
      <w:numPr>
        <w:ilvl w:val="0"/>
        <w:numId w:val="9"/>
      </w:numPr>
    </w:pPr>
  </w:style>
  <w:style w:type="paragraph" w:styleId="88">
    <w:name w:val="List Number 2"/>
    <w:basedOn w:val="1"/>
    <w:qFormat/>
    <w:uiPriority w:val="0"/>
    <w:pPr>
      <w:numPr>
        <w:ilvl w:val="0"/>
        <w:numId w:val="10"/>
      </w:numPr>
    </w:pPr>
  </w:style>
  <w:style w:type="paragraph" w:styleId="89">
    <w:name w:val="List"/>
    <w:basedOn w:val="1"/>
    <w:qFormat/>
    <w:uiPriority w:val="0"/>
    <w:pPr>
      <w:ind w:left="360" w:hanging="360"/>
    </w:pPr>
  </w:style>
  <w:style w:type="paragraph" w:styleId="90">
    <w:name w:val="Normal (Web)"/>
    <w:basedOn w:val="1"/>
    <w:qFormat/>
    <w:uiPriority w:val="0"/>
    <w:rPr>
      <w:sz w:val="24"/>
      <w:szCs w:val="24"/>
    </w:rPr>
  </w:style>
  <w:style w:type="paragraph" w:styleId="91">
    <w:name w:val="Body Text 3"/>
    <w:basedOn w:val="1"/>
    <w:qFormat/>
    <w:uiPriority w:val="0"/>
    <w:pPr>
      <w:spacing w:after="120"/>
    </w:pPr>
    <w:rPr>
      <w:sz w:val="16"/>
      <w:szCs w:val="16"/>
    </w:rPr>
  </w:style>
  <w:style w:type="paragraph" w:styleId="92">
    <w:name w:val="Body Text Indent 2"/>
    <w:basedOn w:val="1"/>
    <w:qFormat/>
    <w:uiPriority w:val="0"/>
    <w:pPr>
      <w:spacing w:after="120" w:line="480" w:lineRule="auto"/>
      <w:ind w:left="360"/>
    </w:pPr>
  </w:style>
  <w:style w:type="paragraph" w:styleId="93">
    <w:name w:val="Subtitle"/>
    <w:basedOn w:val="1"/>
    <w:qFormat/>
    <w:uiPriority w:val="0"/>
    <w:pPr>
      <w:spacing w:after="60"/>
      <w:jc w:val="center"/>
      <w:outlineLvl w:val="1"/>
    </w:pPr>
    <w:rPr>
      <w:rFonts w:ascii="Arial" w:hAnsi="Arial" w:cs="Arial"/>
      <w:sz w:val="24"/>
      <w:szCs w:val="24"/>
    </w:rPr>
  </w:style>
  <w:style w:type="paragraph" w:styleId="94">
    <w:name w:val="Signature"/>
    <w:basedOn w:val="1"/>
    <w:qFormat/>
    <w:uiPriority w:val="0"/>
    <w:pPr>
      <w:ind w:left="4320"/>
    </w:pPr>
  </w:style>
  <w:style w:type="paragraph" w:styleId="95">
    <w:name w:val="Salutation"/>
    <w:basedOn w:val="1"/>
    <w:next w:val="1"/>
    <w:qFormat/>
    <w:uiPriority w:val="0"/>
  </w:style>
  <w:style w:type="paragraph" w:styleId="96">
    <w:name w:val="List Continue 2"/>
    <w:basedOn w:val="1"/>
    <w:uiPriority w:val="0"/>
    <w:pPr>
      <w:spacing w:after="120"/>
      <w:ind w:left="720"/>
    </w:pPr>
  </w:style>
  <w:style w:type="paragraph" w:styleId="97">
    <w:name w:val="List Continue 3"/>
    <w:basedOn w:val="1"/>
    <w:qFormat/>
    <w:uiPriority w:val="0"/>
    <w:pPr>
      <w:spacing w:after="120"/>
      <w:ind w:left="1080"/>
    </w:pPr>
  </w:style>
  <w:style w:type="paragraph" w:styleId="98">
    <w:name w:val="List Continue 4"/>
    <w:basedOn w:val="1"/>
    <w:qFormat/>
    <w:uiPriority w:val="0"/>
    <w:pPr>
      <w:spacing w:after="120"/>
      <w:ind w:left="1440"/>
    </w:pPr>
  </w:style>
  <w:style w:type="paragraph" w:styleId="99">
    <w:name w:val="List Continue 5"/>
    <w:basedOn w:val="1"/>
    <w:qFormat/>
    <w:uiPriority w:val="0"/>
    <w:pPr>
      <w:spacing w:after="120"/>
      <w:ind w:left="1800"/>
    </w:pPr>
  </w:style>
  <w:style w:type="paragraph" w:styleId="100">
    <w:name w:val="List 2"/>
    <w:basedOn w:val="1"/>
    <w:qFormat/>
    <w:uiPriority w:val="0"/>
    <w:pPr>
      <w:ind w:left="720" w:hanging="360"/>
    </w:pPr>
  </w:style>
  <w:style w:type="paragraph" w:styleId="101">
    <w:name w:val="List 3"/>
    <w:basedOn w:val="1"/>
    <w:qFormat/>
    <w:uiPriority w:val="0"/>
    <w:pPr>
      <w:ind w:left="1080" w:hanging="360"/>
    </w:pPr>
  </w:style>
  <w:style w:type="paragraph" w:styleId="102">
    <w:name w:val="List 4"/>
    <w:basedOn w:val="1"/>
    <w:qFormat/>
    <w:uiPriority w:val="0"/>
    <w:pPr>
      <w:ind w:left="1440" w:hanging="360"/>
    </w:pPr>
  </w:style>
  <w:style w:type="paragraph" w:styleId="103">
    <w:name w:val="HTML Preformatted"/>
    <w:basedOn w:val="1"/>
    <w:qFormat/>
    <w:uiPriority w:val="0"/>
    <w:rPr>
      <w:rFonts w:ascii="Courier New" w:hAnsi="Courier New" w:cs="Courier New"/>
      <w:sz w:val="20"/>
    </w:rPr>
  </w:style>
  <w:style w:type="paragraph" w:styleId="104">
    <w:name w:val="Block Text"/>
    <w:basedOn w:val="1"/>
    <w:qFormat/>
    <w:uiPriority w:val="0"/>
    <w:pPr>
      <w:spacing w:after="120"/>
      <w:ind w:left="1440" w:right="1440"/>
    </w:pPr>
  </w:style>
  <w:style w:type="paragraph" w:styleId="10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106">
    <w:name w:val="E-mail Signature"/>
    <w:basedOn w:val="1"/>
    <w:qFormat/>
    <w:uiPriority w:val="0"/>
  </w:style>
  <w:style w:type="table" w:styleId="107">
    <w:name w:val="Table Colorful 2"/>
    <w:basedOn w:val="13"/>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8">
    <w:name w:val="Table Grid 2"/>
    <w:basedOn w:val="13"/>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9">
    <w:name w:val="Table Subtle 1"/>
    <w:basedOn w:val="13"/>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Theme"/>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Web 3"/>
    <w:basedOn w:val="13"/>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2">
    <w:name w:val="Table Grid 6"/>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Simple 1"/>
    <w:basedOn w:val="13"/>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Grid 1"/>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15">
    <w:name w:val="Table 3D effects 2"/>
    <w:basedOn w:val="13"/>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List 5"/>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7">
    <w:name w:val="Table Classic 4"/>
    <w:basedOn w:val="13"/>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8">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9">
    <w:name w:val="Table Classic 1"/>
    <w:basedOn w:val="13"/>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0">
    <w:name w:val="Table Grid 5"/>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3D effects 3"/>
    <w:basedOn w:val="13"/>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Columns 3"/>
    <w:basedOn w:val="13"/>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23">
    <w:name w:val="Table Columns 4"/>
    <w:basedOn w:val="13"/>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4">
    <w:name w:val="Table Classic 3"/>
    <w:basedOn w:val="13"/>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25">
    <w:name w:val="Table Professional"/>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Table Elegant"/>
    <w:basedOn w:val="13"/>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7">
    <w:name w:val="Table Colorful 1"/>
    <w:basedOn w:val="13"/>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8">
    <w:name w:val="Table List 3"/>
    <w:basedOn w:val="13"/>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9">
    <w:name w:val="Table Web 2"/>
    <w:basedOn w:val="13"/>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List 7"/>
    <w:basedOn w:val="13"/>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31">
    <w:name w:val="Table Contemporary"/>
    <w:basedOn w:val="13"/>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32">
    <w:name w:val="Table List 6"/>
    <w:basedOn w:val="13"/>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33">
    <w:name w:val="Table Grid 4"/>
    <w:basedOn w:val="13"/>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4">
    <w:name w:val="Table Columns 1"/>
    <w:basedOn w:val="13"/>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List 8"/>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36">
    <w:name w:val="Table Grid 3"/>
    <w:basedOn w:val="13"/>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37">
    <w:name w:val="Table Subtle 2"/>
    <w:basedOn w:val="13"/>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4"/>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9">
    <w:name w:val="Table List 1"/>
    <w:basedOn w:val="13"/>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Web 1"/>
    <w:basedOn w:val="13"/>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1">
    <w:name w:val="Table Colorful 3"/>
    <w:basedOn w:val="13"/>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Columns 5"/>
    <w:basedOn w:val="13"/>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43">
    <w:name w:val="Table Classic 2"/>
    <w:basedOn w:val="13"/>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4">
    <w:name w:val="Table Grid 7"/>
    <w:basedOn w:val="13"/>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45">
    <w:name w:val="Table 3D effects 1"/>
    <w:basedOn w:val="13"/>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6">
    <w:name w:val="Table Columns 2"/>
    <w:basedOn w:val="13"/>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7">
    <w:name w:val="Table Simple 2"/>
    <w:basedOn w:val="13"/>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Grid 8"/>
    <w:basedOn w:val="13"/>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50">
    <w:name w:val="Table List 2"/>
    <w:basedOn w:val="13"/>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customStyle="1" w:styleId="151">
    <w:name w:val="Заголовок 2 Знак"/>
    <w:basedOn w:val="12"/>
    <w:link w:val="4"/>
    <w:qFormat/>
    <w:uiPriority w:val="9"/>
    <w:rPr>
      <w:rFonts w:asciiTheme="majorAscii" w:hAnsiTheme="majorAscii" w:eastAsiaTheme="majorEastAsia" w:cstheme="majorBidi"/>
      <w:b/>
      <w:color w:val="4874CB" w:themeColor="accent1"/>
      <w:sz w:val="28"/>
      <w:szCs w:val="28"/>
      <w:lang w:val="ru-RU" w:eastAsia="en-US"/>
      <w14:textFill>
        <w14:solidFill>
          <w14:schemeClr w14:val="accent1"/>
        </w14:solidFill>
      </w14:textFill>
    </w:rPr>
  </w:style>
  <w:style w:type="character" w:customStyle="1" w:styleId="152">
    <w:name w:val="Body Text Char"/>
    <w:basedOn w:val="12"/>
    <w:link w:val="3"/>
    <w:uiPriority w:val="0"/>
    <w:rPr>
      <w:rFonts w:eastAsia="NSimSun" w:cs="Lucida Sans" w:asciiTheme="minorAscii" w:hAnsiTheme="minorAscii"/>
      <w:color w:val="auto"/>
      <w:kern w:val="2"/>
      <w:szCs w:val="24"/>
      <w:lang w:val="ru-RU" w:eastAsia="en-US" w:bidi="hi-IN"/>
    </w:rPr>
  </w:style>
  <w:style w:type="paragraph" w:customStyle="1" w:styleId="153">
    <w:name w:val="Image Caption"/>
    <w:basedOn w:val="42"/>
    <w:qFormat/>
    <w:uiPriority w:val="0"/>
    <w:pPr>
      <w:jc w:val="both"/>
    </w:pPr>
    <w:rPr>
      <w:rFonts w:asciiTheme="minorAscii" w:hAnsiTheme="minorAscii" w:eastAsiaTheme="minorEastAsia" w:cstheme="minorBidi"/>
      <w:i/>
      <w:sz w:val="20"/>
      <w:szCs w:val="24"/>
      <w:lang w:eastAsia="en-US"/>
    </w:rPr>
  </w:style>
  <w:style w:type="paragraph" w:customStyle="1" w:styleId="154">
    <w:name w:val="Table"/>
    <w:basedOn w:val="1"/>
    <w:next w:val="1"/>
    <w:qFormat/>
    <w:uiPriority w:val="0"/>
    <w:pPr>
      <w:spacing w:before="36" w:after="36"/>
    </w:pPr>
    <w:rPr>
      <w:rFonts w:ascii="Times New Roman" w:hAnsi="Times New Roman" w:cs="Times New Roman" w:eastAsiaTheme="minorEastAsia"/>
      <w:sz w:val="16"/>
      <w:szCs w:val="16"/>
      <w:lang w:val="ru-RU"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937</Words>
  <Characters>6061</Characters>
  <Lines>0</Lines>
  <Paragraphs>0</Paragraphs>
  <TotalTime>34</TotalTime>
  <ScaleCrop>false</ScaleCrop>
  <LinksUpToDate>false</LinksUpToDate>
  <CharactersWithSpaces>6935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2026-05-07T03:34:00Z</dcterms:created>
  <dc:creator>WPS_1775125980</dc:creator>
  <cp:lastModifiedBy>WPS_1775125980</cp:lastModifiedBy>
  <dcterms:modified xsi:type="dcterms:W3CDTF">2026-05-07T07:25:02Z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1049-12.1.0.25862</vt:lpwstr>
  </property>
  <property fmtid="{D5CDD505-2E9C-101B-9397-08002B2CF9AE}" pid="3" name="ICV">
    <vt:lpwstr>8E7F6E38CF334C74BB305946A8100C8D_11</vt:lpwstr>
  </property>
  <property fmtid="{D5CDD505-2E9C-101B-9397-08002B2CF9AE}" pid="4" name="KSOTemplateDocerSaveRecord">
    <vt:lpwstr>eyJoZGlkIjoiNGI5N2MxZmVjMDQ1ZWNjODI2ODFiYTk0ZTA3M2RjODQiLCJ1c2VySWQiOiI4MjQ2MzQ1OTkzMjcifQ==</vt:lpwstr>
  </property>
</Properties>
</file>