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D1DC7D">
      <w:pPr>
        <w:rPr>
          <w:rFonts w:hint="default"/>
          <w:lang w:val="en-US"/>
        </w:rPr>
      </w:pPr>
      <w:bookmarkStart w:id="0" w:name="_GoBack"/>
      <w:r>
        <w:rPr>
          <w:rFonts w:hint="default"/>
          <w:lang w:val="en-US"/>
        </w:rPr>
        <w:t>Variations in Mytilus trossulus population structure</w:t>
      </w:r>
    </w:p>
    <w:p w14:paraId="79C183AC">
      <w:pPr>
        <w:rPr>
          <w:lang w:val="en-US"/>
        </w:rPr>
      </w:pPr>
    </w:p>
    <w:p w14:paraId="052F569E">
      <w:pPr>
        <w:rPr>
          <w:rFonts w:hint="default"/>
          <w:lang w:val="en-US"/>
        </w:rPr>
      </w:pPr>
      <w:r>
        <w:rPr>
          <w:rFonts w:hint="default"/>
          <w:lang w:val="en-US"/>
        </w:rPr>
        <w:t>For SEM</w:t>
      </w:r>
    </w:p>
    <w:p w14:paraId="161F4EA1">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Principal component analysis revealed that the </w:t>
      </w:r>
      <w:r>
        <w:rPr>
          <w:rFonts w:hint="default" w:ascii="Segoe UI" w:hAnsi="Segoe UI" w:eastAsia="Segoe UI" w:cs="Segoe UI"/>
          <w:i w:val="0"/>
          <w:iCs w:val="0"/>
          <w:caps w:val="0"/>
          <w:color w:val="0F1115"/>
          <w:spacing w:val="0"/>
          <w:sz w:val="19"/>
          <w:szCs w:val="19"/>
          <w:shd w:val="clear" w:fill="FFFFFF"/>
          <w:lang w:val="en-US"/>
        </w:rPr>
        <w:t>main</w:t>
      </w:r>
      <w:r>
        <w:rPr>
          <w:rFonts w:hint="default" w:ascii="Segoe UI" w:hAnsi="Segoe UI" w:eastAsia="Segoe UI" w:cs="Segoe UI"/>
          <w:i w:val="0"/>
          <w:iCs w:val="0"/>
          <w:caps w:val="0"/>
          <w:color w:val="0F1115"/>
          <w:spacing w:val="0"/>
          <w:sz w:val="19"/>
          <w:szCs w:val="19"/>
          <w:shd w:val="clear" w:fill="FFFFFF"/>
        </w:rPr>
        <w:t xml:space="preserve"> variation in population structure (PC1, explaining 34.0% of the total variance) was associated with variability in abundance </w:t>
      </w:r>
      <w:r>
        <w:rPr>
          <w:rFonts w:hint="default" w:ascii="Segoe UI" w:hAnsi="Segoe UI" w:eastAsia="Segoe UI" w:cs="Segoe UI"/>
          <w:i w:val="0"/>
          <w:iCs w:val="0"/>
          <w:caps w:val="0"/>
          <w:color w:val="0F1115"/>
          <w:spacing w:val="0"/>
          <w:sz w:val="19"/>
          <w:szCs w:val="19"/>
          <w:shd w:val="clear" w:fill="FFFFFF"/>
          <w:lang w:val="en-US"/>
        </w:rPr>
        <w:t xml:space="preserve">of mussels of different sizes </w:t>
      </w:r>
      <w:r>
        <w:rPr>
          <w:rFonts w:hint="default" w:ascii="Segoe UI" w:hAnsi="Segoe UI" w:eastAsia="Segoe UI" w:cs="Segoe UI"/>
          <w:i w:val="0"/>
          <w:iCs w:val="0"/>
          <w:caps w:val="0"/>
          <w:color w:val="0F1115"/>
          <w:spacing w:val="0"/>
          <w:sz w:val="19"/>
          <w:szCs w:val="19"/>
          <w:shd w:val="clear" w:fill="FFFFFF"/>
        </w:rPr>
        <w:t xml:space="preserve">(SFig. ++). </w:t>
      </w:r>
      <w:r>
        <w:rPr>
          <w:rFonts w:hint="default" w:ascii="Segoe UI" w:hAnsi="Segoe UI" w:eastAsia="Segoe UI" w:cs="Segoe UI"/>
          <w:i w:val="0"/>
          <w:iCs w:val="0"/>
          <w:caps w:val="0"/>
          <w:color w:val="0F1115"/>
          <w:spacing w:val="0"/>
          <w:sz w:val="19"/>
          <w:szCs w:val="19"/>
          <w:shd w:val="clear" w:fill="FFFFFF"/>
          <w:lang w:val="en-US"/>
        </w:rPr>
        <w:t>T</w:t>
      </w:r>
      <w:r>
        <w:rPr>
          <w:rFonts w:hint="default" w:ascii="Segoe UI" w:hAnsi="Segoe UI" w:eastAsia="Segoe UI" w:cs="Segoe UI"/>
          <w:i w:val="0"/>
          <w:iCs w:val="0"/>
          <w:caps w:val="0"/>
          <w:color w:val="0F1115"/>
          <w:spacing w:val="0"/>
          <w:sz w:val="19"/>
          <w:szCs w:val="19"/>
          <w:shd w:val="clear" w:fill="FFFFFF"/>
        </w:rPr>
        <w:t>he smallest mollusks (</w:t>
      </w:r>
      <w:r>
        <w:rPr>
          <w:rFonts w:hint="default" w:ascii="Segoe UI" w:hAnsi="Segoe UI" w:eastAsia="Segoe UI" w:cs="Segoe UI"/>
          <w:i w:val="0"/>
          <w:iCs w:val="0"/>
          <w:caps w:val="0"/>
          <w:color w:val="0F1115"/>
          <w:spacing w:val="0"/>
          <w:sz w:val="19"/>
          <w:szCs w:val="19"/>
          <w:shd w:val="clear" w:fill="FFFFFF"/>
          <w:lang w:val="en-US"/>
        </w:rPr>
        <w:t>s</w:t>
      </w:r>
      <w:r>
        <w:rPr>
          <w:rFonts w:hint="default" w:ascii="Segoe UI" w:hAnsi="Segoe UI" w:eastAsia="Segoe UI" w:cs="Segoe UI"/>
          <w:i w:val="0"/>
          <w:iCs w:val="0"/>
          <w:caps w:val="0"/>
          <w:color w:val="0F1115"/>
          <w:spacing w:val="0"/>
          <w:sz w:val="19"/>
          <w:szCs w:val="19"/>
          <w:shd w:val="clear" w:fill="FFFFFF"/>
        </w:rPr>
        <w:t xml:space="preserve">ize classes </w:t>
      </w:r>
      <w:r>
        <w:rPr>
          <w:rFonts w:hint="default" w:ascii="Segoe UI" w:hAnsi="Segoe UI" w:eastAsia="Segoe UI" w:cs="Segoe UI"/>
          <w:i w:val="0"/>
          <w:iCs w:val="0"/>
          <w:caps w:val="0"/>
          <w:color w:val="0F1115"/>
          <w:spacing w:val="0"/>
          <w:sz w:val="19"/>
          <w:szCs w:val="19"/>
          <w:shd w:val="clear" w:fill="FFFFFF"/>
        </w:rPr>
        <w:t>L3–L28) exhibited high positive loadings on PC1, whereas the largest mussels (L38–L58) were characterized by high negative loadings on PC1. The second principal component (17.3% of the total variance) was related to variation in mussel coverage (high positive loadings on PC2) and biomass (high negative loadings on PC2). PC2 was also associated with the abundance of intermediate size classes (L28–L38), which showed high negative loadings on PC2.</w:t>
      </w:r>
    </w:p>
    <w:p w14:paraId="10A902D4">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When ordered according to PC1 scores, the size frequency distributions (SFig. ++) demonstrated a clear gradient. Negative PC1 values corresponded to bimodal distributions with distinct peaks at both high and low size</w:t>
      </w:r>
      <w:r>
        <w:rPr>
          <w:rFonts w:hint="default" w:ascii="Segoe UI" w:hAnsi="Segoe UI" w:eastAsia="Segoe UI" w:cs="Segoe UI"/>
          <w:i w:val="0"/>
          <w:iCs w:val="0"/>
          <w:caps w:val="0"/>
          <w:color w:val="0F1115"/>
          <w:spacing w:val="0"/>
          <w:sz w:val="19"/>
          <w:szCs w:val="19"/>
          <w:shd w:val="clear" w:fill="FFFFFF"/>
          <w:lang w:val="en-US"/>
        </w:rPr>
        <w:t>s</w:t>
      </w:r>
      <w:r>
        <w:rPr>
          <w:rFonts w:hint="default" w:ascii="Segoe UI" w:hAnsi="Segoe UI" w:eastAsia="Segoe UI" w:cs="Segoe UI"/>
          <w:i w:val="0"/>
          <w:iCs w:val="0"/>
          <w:caps w:val="0"/>
          <w:color w:val="0F1115"/>
          <w:spacing w:val="0"/>
          <w:sz w:val="19"/>
          <w:szCs w:val="19"/>
          <w:shd w:val="clear" w:fill="FFFFFF"/>
        </w:rPr>
        <w:t>. In such settlements, large mollusks generally predominated. Positive PC1 values corresponded to unimodal distributions dominated by small mollusks.</w:t>
      </w:r>
    </w:p>
    <w:p w14:paraId="11D7DB69">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Comparison of PC1 scores between 2021 and 2023 (SFig. ++) indicated a substantial change in this parameter, suggesting significant interannual dynamics in settlement structure. Most settlements resampled in 2023 exhibited marked positive shifts in PC1 values</w:t>
      </w:r>
      <w:r>
        <w:rPr>
          <w:rFonts w:hint="default" w:ascii="Segoe UI" w:hAnsi="Segoe UI" w:eastAsia="Segoe UI" w:cs="Segoe UI"/>
          <w:i w:val="0"/>
          <w:iCs w:val="0"/>
          <w:caps w:val="0"/>
          <w:color w:val="0F1115"/>
          <w:spacing w:val="0"/>
          <w:sz w:val="19"/>
          <w:szCs w:val="19"/>
          <w:shd w:val="clear" w:fill="FFFFFF"/>
          <w:lang w:val="en-US"/>
        </w:rPr>
        <w:t xml:space="preserve"> in comparison with 2021</w:t>
      </w:r>
      <w:r>
        <w:rPr>
          <w:rFonts w:hint="default" w:ascii="Segoe UI" w:hAnsi="Segoe UI" w:eastAsia="Segoe UI" w:cs="Segoe UI"/>
          <w:i w:val="0"/>
          <w:iCs w:val="0"/>
          <w:caps w:val="0"/>
          <w:color w:val="0F1115"/>
          <w:spacing w:val="0"/>
          <w:sz w:val="19"/>
          <w:szCs w:val="19"/>
          <w:shd w:val="clear" w:fill="FFFFFF"/>
        </w:rPr>
        <w:t xml:space="preserve"> (SFig. ++). Thus, PC1 also characterizes a temporal gradient associated with the transition of settlements from dominance by large, old mussels to dominance by juveniles.</w:t>
      </w:r>
    </w:p>
    <w:p w14:paraId="4036FB25">
      <w:pPr>
        <w:rPr>
          <w:rFonts w:hint="default"/>
          <w:lang w:val="ru-RU"/>
        </w:rPr>
      </w:pPr>
    </w:p>
    <w:p w14:paraId="5A28A8F8">
      <w:pPr>
        <w:rPr>
          <w:rFonts w:hint="default"/>
          <w:lang w:val="ru-RU"/>
        </w:rPr>
      </w:pPr>
    </w:p>
    <w:p w14:paraId="7B062930">
      <w:pPr>
        <w:rPr>
          <w:rFonts w:hint="default"/>
          <w:lang w:val="ru-RU"/>
        </w:rPr>
      </w:pPr>
    </w:p>
    <w:p w14:paraId="4D8A5EBF">
      <w:pPr>
        <w:rPr>
          <w:rFonts w:hint="default"/>
          <w:lang w:val="ru-RU"/>
        </w:rPr>
      </w:pPr>
    </w:p>
    <w:p w14:paraId="33BC8F4C">
      <w:pPr>
        <w:rPr>
          <w:rFonts w:hint="default"/>
          <w:lang w:val="en-US"/>
        </w:rPr>
      </w:pPr>
      <w:r>
        <w:rPr>
          <w:rFonts w:hint="default"/>
          <w:lang w:val="en-US"/>
        </w:rPr>
        <w:t>Main text</w:t>
      </w:r>
    </w:p>
    <w:p w14:paraId="31F5C192">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most informative first principal component (PC1) characterizes variation in the size</w:t>
      </w:r>
      <w:r>
        <w:rPr>
          <w:rFonts w:hint="default" w:ascii="Segoe UI" w:hAnsi="Segoe UI" w:eastAsia="Segoe UI" w:cs="Segoe UI"/>
          <w:i w:val="0"/>
          <w:iCs w:val="0"/>
          <w:caps w:val="0"/>
          <w:color w:val="0F1115"/>
          <w:spacing w:val="0"/>
          <w:sz w:val="19"/>
          <w:szCs w:val="19"/>
          <w:shd w:val="clear" w:fill="FFFFFF"/>
          <w:lang w:val="en-US"/>
        </w:rPr>
        <w:t>-</w:t>
      </w:r>
      <w:r>
        <w:rPr>
          <w:rFonts w:hint="default" w:ascii="Segoe UI" w:hAnsi="Segoe UI" w:eastAsia="Segoe UI" w:cs="Segoe UI"/>
          <w:i w:val="0"/>
          <w:iCs w:val="0"/>
          <w:caps w:val="0"/>
          <w:color w:val="0F1115"/>
          <w:spacing w:val="0"/>
          <w:sz w:val="19"/>
          <w:szCs w:val="19"/>
          <w:shd w:val="clear" w:fill="FFFFFF"/>
        </w:rPr>
        <w:t>structure of mussel settlements (SEM ++). High negative PC1 values indicate the dominance of large, old mollusks within the settlements. This type of settlement structure was most pronounced at sites MAR_21, VES_21, VES_23, and OLA_23. High positive PC1 values characterize settlements dominated by small mollusks (NUK-1_23, MAM_23, BAT_23, ZHEM_23, TIKH_23).</w:t>
      </w:r>
    </w:p>
    <w:p w14:paraId="68B0C322">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Variation along PC2 reflects variability in mussel biomass and cover. Settlements characterized by high biomass but low cover exhibit high negative PC2 values. High positive PC2 values are typical </w:t>
      </w:r>
      <w:r>
        <w:rPr>
          <w:rFonts w:hint="default" w:ascii="Segoe UI" w:hAnsi="Segoe UI" w:eastAsia="Segoe UI" w:cs="Segoe UI"/>
          <w:i w:val="0"/>
          <w:iCs w:val="0"/>
          <w:caps w:val="0"/>
          <w:color w:val="0F1115"/>
          <w:spacing w:val="0"/>
          <w:sz w:val="19"/>
          <w:szCs w:val="19"/>
          <w:shd w:val="clear" w:fill="FFFFFF"/>
          <w:lang w:val="en-US"/>
        </w:rPr>
        <w:t>for</w:t>
      </w:r>
      <w:r>
        <w:rPr>
          <w:rFonts w:hint="default" w:ascii="Segoe UI" w:hAnsi="Segoe UI" w:eastAsia="Segoe UI" w:cs="Segoe UI"/>
          <w:i w:val="0"/>
          <w:iCs w:val="0"/>
          <w:caps w:val="0"/>
          <w:color w:val="0F1115"/>
          <w:spacing w:val="0"/>
          <w:sz w:val="19"/>
          <w:szCs w:val="19"/>
          <w:shd w:val="clear" w:fill="FFFFFF"/>
        </w:rPr>
        <w:t xml:space="preserve"> settlements with high cover but low biomass.</w:t>
      </w:r>
    </w:p>
    <w:p w14:paraId="601F5F29">
      <w:pPr>
        <w:rPr>
          <w:rFonts w:hint="default"/>
          <w:lang w:val="en-US"/>
        </w:rPr>
      </w:pPr>
    </w:p>
    <w:p w14:paraId="16530250">
      <w:pPr>
        <w:rPr>
          <w:rFonts w:hint="default"/>
          <w:lang w:val="en-US"/>
        </w:rPr>
      </w:pPr>
    </w:p>
    <w:p w14:paraId="75370E2E">
      <w:pPr>
        <w:rPr>
          <w:rFonts w:hint="default"/>
          <w:lang w:val="en-US"/>
        </w:rPr>
      </w:pPr>
      <w:r>
        <w:rPr>
          <w:rFonts w:hint="default"/>
          <w:lang w:val="en-US"/>
        </w:rPr>
        <w:t>BTN prevalence variation</w:t>
      </w:r>
    </w:p>
    <w:p w14:paraId="163D99E5">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 total of +++ individuals were examined, with sizes ranging from ++ to ++ mm (median ++). Among these, +++ infected individuals were found, with sizes varying from +++ to +++ mm (median +++). The frequencies of both transmissible cancer lineages (BTN1 and BTN2) ranged from 0 (no infected mollusks were found in ++ sites) to +++% (BTN1, site +++) and +++% (BTN2, site ++++). On average, the frequencies of BTN1 and BTN2 were similar, amounting to 2.07% and 2.04%, respectively.</w:t>
      </w:r>
    </w:p>
    <w:p w14:paraId="643A1470">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Analysis of the spatial distribution of </w:t>
      </w:r>
      <w:r>
        <w:rPr>
          <w:rFonts w:hint="default" w:ascii="Segoe UI" w:hAnsi="Segoe UI" w:eastAsia="Segoe UI" w:cs="Segoe UI"/>
          <w:i w:val="0"/>
          <w:iCs w:val="0"/>
          <w:caps w:val="0"/>
          <w:color w:val="0F1115"/>
          <w:spacing w:val="0"/>
          <w:sz w:val="19"/>
          <w:szCs w:val="19"/>
          <w:shd w:val="clear" w:fill="FFFFFF"/>
          <w:lang w:val="en-US"/>
        </w:rPr>
        <w:t>prevalence</w:t>
      </w:r>
      <w:r>
        <w:rPr>
          <w:rFonts w:hint="default" w:ascii="Segoe UI" w:hAnsi="Segoe UI" w:eastAsia="Segoe UI" w:cs="Segoe UI"/>
          <w:i w:val="0"/>
          <w:iCs w:val="0"/>
          <w:caps w:val="0"/>
          <w:color w:val="0F1115"/>
          <w:spacing w:val="0"/>
          <w:sz w:val="19"/>
          <w:szCs w:val="19"/>
          <w:shd w:val="clear" w:fill="FFFFFF"/>
        </w:rPr>
        <w:t xml:space="preserve"> revealed highly heterogeneous patterns for both BTN1 and BTN2 (Fig. ++). No significant correlation was detected between the frequencies of the two lineages (Spearman's R = 0.27, p = 0.208, n = 24).</w:t>
      </w:r>
    </w:p>
    <w:p w14:paraId="19D6954C">
      <w:pPr>
        <w:rPr>
          <w:rFonts w:hint="default"/>
          <w:lang w:val="en-US"/>
        </w:rPr>
      </w:pPr>
    </w:p>
    <w:p w14:paraId="37680BC7">
      <w:pPr>
        <w:rPr>
          <w:rFonts w:hint="default"/>
          <w:lang w:val="en-US"/>
        </w:rPr>
      </w:pPr>
      <w:r>
        <w:drawing>
          <wp:inline distT="0" distB="0" distL="114300" distR="114300">
            <wp:extent cx="5212080" cy="3257550"/>
            <wp:effectExtent l="0" t="0" r="0" b="38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6"/>
                    <a:stretch>
                      <a:fillRect/>
                    </a:stretch>
                  </pic:blipFill>
                  <pic:spPr>
                    <a:xfrm>
                      <a:off x="0" y="0"/>
                      <a:ext cx="5212080" cy="3257550"/>
                    </a:xfrm>
                    <a:prstGeom prst="rect">
                      <a:avLst/>
                    </a:prstGeom>
                    <a:noFill/>
                    <a:ln>
                      <a:noFill/>
                    </a:ln>
                  </pic:spPr>
                </pic:pic>
              </a:graphicData>
            </a:graphic>
          </wp:inline>
        </w:drawing>
      </w:r>
    </w:p>
    <w:p w14:paraId="458E8D76">
      <w:pPr>
        <w:rPr>
          <w:rFonts w:hint="default"/>
          <w:lang w:val="ru-RU"/>
        </w:rPr>
      </w:pPr>
      <w:r>
        <w:rPr>
          <w:rFonts w:hint="default"/>
          <w:lang w:val="en-US"/>
        </w:rPr>
        <w:t xml:space="preserve"> </w:t>
      </w:r>
    </w:p>
    <w:p w14:paraId="562C73DE">
      <w:pPr>
        <w:rPr>
          <w:rFonts w:hint="default"/>
          <w:lang w:val="ru-RU"/>
        </w:rPr>
      </w:pPr>
    </w:p>
    <w:p w14:paraId="1B9B12DD">
      <w:pPr>
        <w:rPr>
          <w:rFonts w:hint="default"/>
          <w:lang w:val="ru-RU"/>
        </w:rPr>
      </w:pPr>
    </w:p>
    <w:p w14:paraId="4DEED557">
      <w:pPr>
        <w:rPr>
          <w:rFonts w:hint="default"/>
          <w:b/>
          <w:bCs/>
          <w:lang w:val="en-US"/>
        </w:rPr>
      </w:pPr>
      <w:r>
        <w:rPr>
          <w:rFonts w:hint="default"/>
          <w:b/>
          <w:bCs/>
          <w:lang w:val="en-US"/>
        </w:rPr>
        <w:t>Dependence of BTN prevalences on predictors</w:t>
      </w:r>
    </w:p>
    <w:p w14:paraId="1A11B3F8">
      <w:pPr>
        <w:rPr>
          <w:rFonts w:hint="default"/>
          <w:lang w:val="en-US"/>
        </w:rPr>
      </w:pPr>
    </w:p>
    <w:p w14:paraId="5AD03827">
      <w:pPr>
        <w:rPr>
          <w:rFonts w:hint="default"/>
          <w:lang w:val="ru-RU"/>
        </w:rPr>
      </w:pPr>
      <w:r>
        <w:rPr>
          <w:rFonts w:ascii="Segoe UI" w:hAnsi="Segoe UI" w:eastAsia="Segoe UI" w:cs="Segoe UI"/>
          <w:i w:val="0"/>
          <w:iCs w:val="0"/>
          <w:caps w:val="0"/>
          <w:color w:val="0F1115"/>
          <w:spacing w:val="0"/>
          <w:sz w:val="19"/>
          <w:szCs w:val="19"/>
          <w:shd w:val="clear" w:fill="FFFFFF"/>
        </w:rPr>
        <w:t xml:space="preserve">Model 1 (Table ++) accounted for 72% of the deviance (adjusted R² = 0.67). Statistically significant associations were found only between BTN1 </w:t>
      </w:r>
      <w:r>
        <w:rPr>
          <w:rFonts w:hint="default" w:ascii="Segoe UI" w:hAnsi="Segoe UI" w:eastAsia="Segoe UI" w:cs="Segoe UI"/>
          <w:i w:val="0"/>
          <w:iCs w:val="0"/>
          <w:caps w:val="0"/>
          <w:color w:val="0F1115"/>
          <w:spacing w:val="0"/>
          <w:sz w:val="19"/>
          <w:szCs w:val="19"/>
          <w:shd w:val="clear" w:fill="FFFFFF"/>
          <w:lang w:val="en-US"/>
        </w:rPr>
        <w:t xml:space="preserve">prevalrnce </w:t>
      </w:r>
      <w:r>
        <w:rPr>
          <w:rFonts w:ascii="Segoe UI" w:hAnsi="Segoe UI" w:eastAsia="Segoe UI" w:cs="Segoe UI"/>
          <w:i w:val="0"/>
          <w:iCs w:val="0"/>
          <w:caps w:val="0"/>
          <w:color w:val="0F1115"/>
          <w:spacing w:val="0"/>
          <w:sz w:val="19"/>
          <w:szCs w:val="19"/>
          <w:shd w:val="clear" w:fill="FFFFFF"/>
        </w:rPr>
        <w:t xml:space="preserve">and distance to port (Dist_Port), wave exposure </w:t>
      </w:r>
      <w:r>
        <w:rPr>
          <w:rFonts w:hint="default" w:ascii="Segoe UI" w:hAnsi="Segoe UI" w:eastAsia="Segoe UI" w:cs="Segoe UI"/>
          <w:i w:val="0"/>
          <w:iCs w:val="0"/>
          <w:caps w:val="0"/>
          <w:color w:val="0F1115"/>
          <w:spacing w:val="0"/>
          <w:sz w:val="19"/>
          <w:szCs w:val="19"/>
          <w:shd w:val="clear" w:fill="FFFFFF"/>
          <w:lang w:val="en-US"/>
        </w:rPr>
        <w:t>level</w:t>
      </w:r>
      <w:r>
        <w:rPr>
          <w:rFonts w:ascii="Segoe UI" w:hAnsi="Segoe UI" w:eastAsia="Segoe UI" w:cs="Segoe UI"/>
          <w:i w:val="0"/>
          <w:iCs w:val="0"/>
          <w:caps w:val="0"/>
          <w:color w:val="0F1115"/>
          <w:spacing w:val="0"/>
          <w:sz w:val="19"/>
          <w:szCs w:val="19"/>
          <w:shd w:val="clear" w:fill="FFFFFF"/>
        </w:rPr>
        <w:t xml:space="preserve"> (Fetch), and the parameter characterizing the size structure of the mussel settlement (PC1). BTN2 </w:t>
      </w:r>
      <w:r>
        <w:rPr>
          <w:rFonts w:hint="default" w:ascii="Segoe UI" w:hAnsi="Segoe UI" w:eastAsia="Segoe UI" w:cs="Segoe UI"/>
          <w:i w:val="0"/>
          <w:iCs w:val="0"/>
          <w:caps w:val="0"/>
          <w:color w:val="0F1115"/>
          <w:spacing w:val="0"/>
          <w:sz w:val="19"/>
          <w:szCs w:val="19"/>
          <w:shd w:val="clear" w:fill="FFFFFF"/>
          <w:lang w:val="en-US"/>
        </w:rPr>
        <w:t>prevalence</w:t>
      </w:r>
      <w:r>
        <w:rPr>
          <w:rFonts w:ascii="Segoe UI" w:hAnsi="Segoe UI" w:eastAsia="Segoe UI" w:cs="Segoe UI"/>
          <w:i w:val="0"/>
          <w:iCs w:val="0"/>
          <w:caps w:val="0"/>
          <w:color w:val="0F1115"/>
          <w:spacing w:val="0"/>
          <w:sz w:val="19"/>
          <w:szCs w:val="19"/>
          <w:shd w:val="clear" w:fill="FFFFFF"/>
        </w:rPr>
        <w:t xml:space="preserve"> was not associated with any of the</w:t>
      </w:r>
      <w:r>
        <w:rPr>
          <w:rFonts w:hint="default" w:ascii="Segoe UI" w:hAnsi="Segoe UI" w:eastAsia="Segoe UI" w:cs="Segoe UI"/>
          <w:i w:val="0"/>
          <w:iCs w:val="0"/>
          <w:caps w:val="0"/>
          <w:color w:val="0F1115"/>
          <w:spacing w:val="0"/>
          <w:sz w:val="19"/>
          <w:szCs w:val="19"/>
          <w:shd w:val="clear" w:fill="FFFFFF"/>
          <w:lang w:val="en-US"/>
        </w:rPr>
        <w:t>se</w:t>
      </w:r>
      <w:r>
        <w:rPr>
          <w:rFonts w:ascii="Segoe UI" w:hAnsi="Segoe UI" w:eastAsia="Segoe UI" w:cs="Segoe UI"/>
          <w:i w:val="0"/>
          <w:iCs w:val="0"/>
          <w:caps w:val="0"/>
          <w:color w:val="0F1115"/>
          <w:spacing w:val="0"/>
          <w:sz w:val="19"/>
          <w:szCs w:val="19"/>
          <w:shd w:val="clear" w:fill="FFFFFF"/>
        </w:rPr>
        <w:t xml:space="preserve"> predictors. Additionally, an association was detected between BTN2 frequency and the </w:t>
      </w:r>
      <w:r>
        <w:rPr>
          <w:rFonts w:hint="default" w:ascii="Segoe UI" w:hAnsi="Segoe UI" w:eastAsia="Segoe UI" w:cs="Segoe UI"/>
          <w:i w:val="0"/>
          <w:iCs w:val="0"/>
          <w:caps w:val="0"/>
          <w:color w:val="0F1115"/>
          <w:spacing w:val="0"/>
          <w:sz w:val="19"/>
          <w:szCs w:val="19"/>
          <w:shd w:val="clear" w:fill="FFFFFF"/>
          <w:lang w:val="en-US"/>
        </w:rPr>
        <w:t xml:space="preserve">group </w:t>
      </w:r>
      <w:r>
        <w:rPr>
          <w:rFonts w:ascii="Segoe UI" w:hAnsi="Segoe UI" w:eastAsia="Segoe UI" w:cs="Segoe UI"/>
          <w:i w:val="0"/>
          <w:iCs w:val="0"/>
          <w:caps w:val="0"/>
          <w:color w:val="0F1115"/>
          <w:spacing w:val="0"/>
          <w:sz w:val="19"/>
          <w:szCs w:val="19"/>
          <w:shd w:val="clear" w:fill="FFFFFF"/>
        </w:rPr>
        <w:t xml:space="preserve">growth </w:t>
      </w:r>
      <w:r>
        <w:rPr>
          <w:rFonts w:hint="default" w:ascii="Segoe UI" w:hAnsi="Segoe UI" w:eastAsia="Segoe UI" w:cs="Segoe UI"/>
          <w:i w:val="0"/>
          <w:iCs w:val="0"/>
          <w:caps w:val="0"/>
          <w:color w:val="0F1115"/>
          <w:spacing w:val="0"/>
          <w:sz w:val="19"/>
          <w:szCs w:val="19"/>
          <w:shd w:val="clear" w:fill="FFFFFF"/>
          <w:lang w:val="en-US"/>
        </w:rPr>
        <w:t xml:space="preserve">score </w:t>
      </w:r>
      <w:r>
        <w:rPr>
          <w:rFonts w:ascii="Segoe UI" w:hAnsi="Segoe UI" w:eastAsia="Segoe UI" w:cs="Segoe UI"/>
          <w:i w:val="0"/>
          <w:iCs w:val="0"/>
          <w:caps w:val="0"/>
          <w:color w:val="0F1115"/>
          <w:spacing w:val="0"/>
          <w:sz w:val="19"/>
          <w:szCs w:val="19"/>
          <w:shd w:val="clear" w:fill="FFFFFF"/>
        </w:rPr>
        <w:t>(OGP). The association between BTN1 and this predictor was marginally significant.</w:t>
      </w:r>
    </w:p>
    <w:p w14:paraId="1A55B26F">
      <w:pPr>
        <w:rPr>
          <w:rFonts w:hint="default"/>
          <w:lang w:val="en-US"/>
        </w:rPr>
      </w:pPr>
      <w:r>
        <w:rPr>
          <w:rFonts w:ascii="Segoe UI" w:hAnsi="Segoe UI" w:eastAsia="Segoe UI" w:cs="Segoe UI"/>
          <w:i w:val="0"/>
          <w:iCs w:val="0"/>
          <w:caps w:val="0"/>
          <w:color w:val="0F1115"/>
          <w:spacing w:val="0"/>
          <w:sz w:val="19"/>
          <w:szCs w:val="19"/>
          <w:shd w:val="clear" w:fill="FFFFFF"/>
        </w:rPr>
        <w:t xml:space="preserve">According to Model 1 (Fig. ++), BTN1 frequency increases linearly with increasing distance to port and increasing degree of coastal exposure. The relationship between BTN1 frequency and PC1 was nonlinear (edf = 2.0, Table ++). Model 1 predicts the highest BTN1 </w:t>
      </w:r>
      <w:r>
        <w:rPr>
          <w:rFonts w:hint="default" w:ascii="Segoe UI" w:hAnsi="Segoe UI" w:eastAsia="Segoe UI" w:cs="Segoe UI"/>
          <w:i w:val="0"/>
          <w:iCs w:val="0"/>
          <w:caps w:val="0"/>
          <w:color w:val="0F1115"/>
          <w:spacing w:val="0"/>
          <w:sz w:val="19"/>
          <w:szCs w:val="19"/>
          <w:shd w:val="clear" w:fill="FFFFFF"/>
          <w:lang w:val="en-US"/>
        </w:rPr>
        <w:t xml:space="preserve">prevalence </w:t>
      </w:r>
      <w:r>
        <w:rPr>
          <w:rFonts w:ascii="Segoe UI" w:hAnsi="Segoe UI" w:eastAsia="Segoe UI" w:cs="Segoe UI"/>
          <w:i w:val="0"/>
          <w:iCs w:val="0"/>
          <w:caps w:val="0"/>
          <w:color w:val="0F1115"/>
          <w:spacing w:val="0"/>
          <w:sz w:val="19"/>
          <w:szCs w:val="19"/>
          <w:shd w:val="clear" w:fill="FFFFFF"/>
        </w:rPr>
        <w:t xml:space="preserve">at the lowest PC1 values. The minimum BTN1 </w:t>
      </w:r>
      <w:r>
        <w:rPr>
          <w:rFonts w:hint="default" w:ascii="Segoe UI" w:hAnsi="Segoe UI" w:eastAsia="Segoe UI" w:cs="Segoe UI"/>
          <w:i w:val="0"/>
          <w:iCs w:val="0"/>
          <w:caps w:val="0"/>
          <w:color w:val="0F1115"/>
          <w:spacing w:val="0"/>
          <w:sz w:val="19"/>
          <w:szCs w:val="19"/>
          <w:shd w:val="clear" w:fill="FFFFFF"/>
          <w:lang w:val="en-US"/>
        </w:rPr>
        <w:t>prevalence</w:t>
      </w:r>
      <w:r>
        <w:rPr>
          <w:rFonts w:ascii="Segoe UI" w:hAnsi="Segoe UI" w:eastAsia="Segoe UI" w:cs="Segoe UI"/>
          <w:i w:val="0"/>
          <w:iCs w:val="0"/>
          <w:caps w:val="0"/>
          <w:color w:val="0F1115"/>
          <w:spacing w:val="0"/>
          <w:sz w:val="19"/>
          <w:szCs w:val="19"/>
          <w:shd w:val="clear" w:fill="FFFFFF"/>
        </w:rPr>
        <w:t xml:space="preserve"> predicted by Model 1 occurs at PC1 values close to zero. At high positive PC1 values, Model 1 predicts a slight increase in BTN1 frequency. Both lineages exhibit a near-linear positive relationship with OGP.</w:t>
      </w:r>
    </w:p>
    <w:p w14:paraId="01601E78"/>
    <w:p w14:paraId="43C9BAF1">
      <w:r>
        <w:drawing>
          <wp:inline distT="0" distB="0" distL="114300" distR="114300">
            <wp:extent cx="5274310" cy="3767455"/>
            <wp:effectExtent l="0" t="0" r="13970" b="1206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7"/>
                    <a:stretch>
                      <a:fillRect/>
                    </a:stretch>
                  </pic:blipFill>
                  <pic:spPr>
                    <a:xfrm>
                      <a:off x="0" y="0"/>
                      <a:ext cx="5274310" cy="3767455"/>
                    </a:xfrm>
                    <a:prstGeom prst="rect">
                      <a:avLst/>
                    </a:prstGeom>
                    <a:noFill/>
                    <a:ln>
                      <a:noFill/>
                    </a:ln>
                  </pic:spPr>
                </pic:pic>
              </a:graphicData>
            </a:graphic>
          </wp:inline>
        </w:drawing>
      </w:r>
    </w:p>
    <w:p w14:paraId="2CC59522"/>
    <w:p w14:paraId="511669A0">
      <w:pPr>
        <w:rPr>
          <w:rFonts w:hint="default"/>
          <w:lang w:val="en-US"/>
        </w:rPr>
      </w:pPr>
      <w:r>
        <w:drawing>
          <wp:inline distT="0" distB="0" distL="114300" distR="114300">
            <wp:extent cx="5274310" cy="3767455"/>
            <wp:effectExtent l="0" t="0" r="13970" b="1206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8"/>
                    <a:stretch>
                      <a:fillRect/>
                    </a:stretch>
                  </pic:blipFill>
                  <pic:spPr>
                    <a:xfrm>
                      <a:off x="0" y="0"/>
                      <a:ext cx="5274310" cy="3767455"/>
                    </a:xfrm>
                    <a:prstGeom prst="rect">
                      <a:avLst/>
                    </a:prstGeom>
                    <a:noFill/>
                    <a:ln>
                      <a:noFill/>
                    </a:ln>
                  </pic:spPr>
                </pic:pic>
              </a:graphicData>
            </a:graphic>
          </wp:inline>
        </w:drawing>
      </w:r>
    </w:p>
    <w:p w14:paraId="3916AC74">
      <w:r>
        <w:drawing>
          <wp:inline distT="0" distB="0" distL="114300" distR="114300">
            <wp:extent cx="5274310" cy="3767455"/>
            <wp:effectExtent l="0" t="0" r="13970" b="1206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9"/>
                    <a:stretch>
                      <a:fillRect/>
                    </a:stretch>
                  </pic:blipFill>
                  <pic:spPr>
                    <a:xfrm>
                      <a:off x="0" y="0"/>
                      <a:ext cx="5274310" cy="3767455"/>
                    </a:xfrm>
                    <a:prstGeom prst="rect">
                      <a:avLst/>
                    </a:prstGeom>
                    <a:noFill/>
                    <a:ln>
                      <a:noFill/>
                    </a:ln>
                  </pic:spPr>
                </pic:pic>
              </a:graphicData>
            </a:graphic>
          </wp:inline>
        </w:drawing>
      </w:r>
    </w:p>
    <w:p w14:paraId="3CE70CD3"/>
    <w:p w14:paraId="0FA76050"/>
    <w:p w14:paraId="5E8D2DFD">
      <w:pPr>
        <w:rPr>
          <w:rFonts w:hint="default"/>
          <w:lang w:val="en-US"/>
        </w:rPr>
      </w:pPr>
    </w:p>
    <w:p w14:paraId="004B3429">
      <w:pPr>
        <w:rPr>
          <w:rFonts w:hint="default"/>
          <w:lang w:val="en-US"/>
        </w:rPr>
      </w:pPr>
    </w:p>
    <w:p w14:paraId="01E035BD">
      <w:pPr>
        <w:rPr>
          <w:rFonts w:hint="default"/>
          <w:b/>
          <w:bCs/>
          <w:lang w:val="en-US"/>
        </w:rPr>
      </w:pPr>
      <w:r>
        <w:rPr>
          <w:rFonts w:hint="default"/>
          <w:b/>
          <w:bCs/>
          <w:lang w:val="en-US"/>
        </w:rPr>
        <w:t>Effects of BTN infection on reproductive function of the host</w:t>
      </w:r>
    </w:p>
    <w:p w14:paraId="193C8EE6">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iCs/>
          <w:caps w:val="0"/>
          <w:color w:val="0F1115"/>
          <w:spacing w:val="0"/>
          <w:sz w:val="19"/>
          <w:szCs w:val="19"/>
        </w:rPr>
      </w:pPr>
      <w:r>
        <w:rPr>
          <w:rStyle w:val="29"/>
          <w:rFonts w:hint="default" w:ascii="Segoe UI" w:hAnsi="Segoe UI" w:eastAsia="Segoe UI" w:cs="Segoe UI"/>
          <w:b/>
          <w:bCs/>
          <w:i/>
          <w:iCs/>
          <w:caps w:val="0"/>
          <w:color w:val="0F1115"/>
          <w:spacing w:val="0"/>
          <w:sz w:val="19"/>
          <w:szCs w:val="19"/>
          <w:shd w:val="clear" w:fill="FFFFFF"/>
        </w:rPr>
        <w:t>Gamete production in healthy and infected mussels</w:t>
      </w:r>
    </w:p>
    <w:p w14:paraId="0137AC77">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lang w:val="en-US"/>
        </w:rPr>
        <w:t>Analysis</w:t>
      </w:r>
      <w:r>
        <w:rPr>
          <w:rFonts w:hint="default" w:ascii="Segoe UI" w:hAnsi="Segoe UI" w:eastAsia="Segoe UI" w:cs="Segoe UI"/>
          <w:i w:val="0"/>
          <w:iCs w:val="0"/>
          <w:caps w:val="0"/>
          <w:color w:val="0F1115"/>
          <w:spacing w:val="0"/>
          <w:sz w:val="19"/>
          <w:szCs w:val="19"/>
          <w:shd w:val="clear" w:fill="FFFFFF"/>
        </w:rPr>
        <w:t xml:space="preserve"> of gonad smears revealed no gametes in more than half of the infected mollusks (++% for BTN1, ++% for BTN2, Fig. +++). Among healthy individuals, the frequency of mussels with no detectable gametes was markedly lower (+++%).</w:t>
      </w:r>
    </w:p>
    <w:p w14:paraId="6CDD306A">
      <w:pPr>
        <w:rPr>
          <w:rFonts w:hint="default"/>
          <w:lang w:val="ru-RU"/>
        </w:rPr>
      </w:pPr>
    </w:p>
    <w:p w14:paraId="315E66D1">
      <w:pPr>
        <w:rPr>
          <w:rFonts w:hint="default"/>
          <w:lang w:val="ru-RU"/>
        </w:rPr>
      </w:pPr>
    </w:p>
    <w:p w14:paraId="542A9B3D">
      <w:pPr>
        <w:rPr>
          <w:rFonts w:hint="default"/>
          <w:lang w:val="en-US"/>
        </w:rPr>
      </w:pPr>
    </w:p>
    <w:p w14:paraId="4977C7B0">
      <w:r>
        <w:drawing>
          <wp:inline distT="0" distB="0" distL="114300" distR="114300">
            <wp:extent cx="5266690" cy="2633345"/>
            <wp:effectExtent l="0" t="0" r="6350" b="317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0"/>
                    <a:stretch>
                      <a:fillRect/>
                    </a:stretch>
                  </pic:blipFill>
                  <pic:spPr>
                    <a:xfrm>
                      <a:off x="0" y="0"/>
                      <a:ext cx="5266690" cy="2633345"/>
                    </a:xfrm>
                    <a:prstGeom prst="rect">
                      <a:avLst/>
                    </a:prstGeom>
                    <a:noFill/>
                    <a:ln>
                      <a:noFill/>
                    </a:ln>
                  </pic:spPr>
                </pic:pic>
              </a:graphicData>
            </a:graphic>
          </wp:inline>
        </w:drawing>
      </w:r>
    </w:p>
    <w:p w14:paraId="0F9EA280"/>
    <w:p w14:paraId="6998F882"/>
    <w:p w14:paraId="38B15D7D">
      <w:pPr>
        <w:pStyle w:val="90"/>
        <w:keepNext w:val="0"/>
        <w:keepLines w:val="0"/>
        <w:widowControl/>
        <w:suppressLineNumbers w:val="0"/>
        <w:spacing w:before="192" w:beforeAutospacing="0" w:after="192" w:afterAutospacing="0" w:line="336" w:lineRule="atLeast"/>
        <w:ind w:left="0" w:right="0"/>
        <w:rPr>
          <w:i/>
          <w:iCs/>
        </w:rPr>
      </w:pPr>
      <w:r>
        <w:rPr>
          <w:rStyle w:val="29"/>
          <w:rFonts w:ascii="Segoe UI" w:hAnsi="Segoe UI" w:eastAsia="Segoe UI" w:cs="Segoe UI"/>
          <w:b/>
          <w:bCs/>
          <w:i/>
          <w:iCs/>
          <w:caps w:val="0"/>
          <w:color w:val="0F1115"/>
          <w:spacing w:val="0"/>
          <w:sz w:val="19"/>
          <w:szCs w:val="19"/>
          <w:shd w:val="clear" w:fill="FFFFFF"/>
        </w:rPr>
        <w:t>Relationship between gonad acinus size and the abundance of aneuploid cells in the hemolymph of two BTN lineages</w:t>
      </w:r>
    </w:p>
    <w:p w14:paraId="583B6617">
      <w:pPr>
        <w:pStyle w:val="90"/>
        <w:keepNext w:val="0"/>
        <w:keepLines w:val="0"/>
        <w:widowControl/>
        <w:suppressLineNumbers w:val="0"/>
        <w:spacing w:before="192" w:beforeAutospacing="0" w:after="192" w:afterAutospacing="0" w:line="336" w:lineRule="atLeast"/>
        <w:ind w:left="0" w:right="0"/>
      </w:pPr>
      <w:r>
        <w:rPr>
          <w:rFonts w:hint="default" w:ascii="Segoe UI" w:hAnsi="Segoe UI" w:eastAsia="Segoe UI" w:cs="Segoe UI"/>
          <w:i w:val="0"/>
          <w:iCs w:val="0"/>
          <w:caps w:val="0"/>
          <w:color w:val="0F1115"/>
          <w:spacing w:val="0"/>
          <w:sz w:val="19"/>
          <w:szCs w:val="19"/>
          <w:shd w:val="clear" w:fill="FFFFFF"/>
        </w:rPr>
        <w:t>According to Model 2 (Table +++), a statistically significant interaction exists between the proportion of aneuploid cells in the hemolymph and the BTN lineage. This indicates a different</w:t>
      </w:r>
      <w:r>
        <w:rPr>
          <w:rFonts w:hint="default" w:ascii="Segoe UI" w:hAnsi="Segoe UI" w:eastAsia="Segoe UI" w:cs="Segoe UI"/>
          <w:i w:val="0"/>
          <w:iCs w:val="0"/>
          <w:caps w:val="0"/>
          <w:color w:val="0F1115"/>
          <w:spacing w:val="0"/>
          <w:sz w:val="19"/>
          <w:szCs w:val="19"/>
          <w:shd w:val="clear" w:fill="FFFFFF"/>
          <w:lang w:val="en-US"/>
        </w:rPr>
        <w:t xml:space="preserve">, lineage-specific </w:t>
      </w:r>
      <w:r>
        <w:rPr>
          <w:rFonts w:hint="default" w:ascii="Segoe UI" w:hAnsi="Segoe UI" w:eastAsia="Segoe UI" w:cs="Segoe UI"/>
          <w:i w:val="0"/>
          <w:iCs w:val="0"/>
          <w:caps w:val="0"/>
          <w:color w:val="0F1115"/>
          <w:spacing w:val="0"/>
          <w:sz w:val="19"/>
          <w:szCs w:val="19"/>
          <w:shd w:val="clear" w:fill="FFFFFF"/>
        </w:rPr>
        <w:t xml:space="preserve">pattern in the relationship between acinus size and disease progression, as characterized by the proportion of aneuploid cells in the hemolymph (Fig. ++). According to Model 2, acinus size in mussels infected with BTN2 remains low at all stages of disease progression (i.e., across all values of aneuploid cell abundance in the hemolymph). A different pattern is observed in mussels infected with BTN1. At early stages of the disease (less than 50% aneuploid cells in the hemolymph), the mean acinus size does not differ significantly from that of healthy mussels. At later stages (proportion of aneuploid cells exceeding 50%), acinus sizes decrease, becoming </w:t>
      </w:r>
      <w:r>
        <w:rPr>
          <w:rFonts w:hint="default" w:ascii="Segoe UI" w:hAnsi="Segoe UI" w:eastAsia="Segoe UI" w:cs="Segoe UI"/>
          <w:i w:val="0"/>
          <w:iCs w:val="0"/>
          <w:caps w:val="0"/>
          <w:color w:val="0F1115"/>
          <w:spacing w:val="0"/>
          <w:sz w:val="19"/>
          <w:szCs w:val="19"/>
          <w:shd w:val="clear" w:fill="FFFFFF"/>
          <w:lang w:val="en-US"/>
        </w:rPr>
        <w:t xml:space="preserve">significantly </w:t>
      </w:r>
      <w:r>
        <w:rPr>
          <w:rFonts w:hint="default" w:ascii="Segoe UI" w:hAnsi="Segoe UI" w:eastAsia="Segoe UI" w:cs="Segoe UI"/>
          <w:i w:val="0"/>
          <w:iCs w:val="0"/>
          <w:caps w:val="0"/>
          <w:color w:val="0F1115"/>
          <w:spacing w:val="0"/>
          <w:sz w:val="19"/>
          <w:szCs w:val="19"/>
          <w:shd w:val="clear" w:fill="FFFFFF"/>
        </w:rPr>
        <w:t>smaller than the mean values observed in healthy mollusks.</w:t>
      </w:r>
    </w:p>
    <w:p w14:paraId="1C7F6EC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0" w:right="0"/>
      </w:pPr>
    </w:p>
    <w:p w14:paraId="59AE89CF">
      <w:pPr>
        <w:rPr>
          <w:rFonts w:hint="default"/>
          <w:lang w:val="ru-RU"/>
        </w:rPr>
      </w:pPr>
      <w:r>
        <w:drawing>
          <wp:inline distT="0" distB="0" distL="114300" distR="114300">
            <wp:extent cx="5267325" cy="3304540"/>
            <wp:effectExtent l="0" t="0" r="5715" b="254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1"/>
                    <a:stretch>
                      <a:fillRect/>
                    </a:stretch>
                  </pic:blipFill>
                  <pic:spPr>
                    <a:xfrm>
                      <a:off x="0" y="0"/>
                      <a:ext cx="5267325" cy="3304540"/>
                    </a:xfrm>
                    <a:prstGeom prst="rect">
                      <a:avLst/>
                    </a:prstGeom>
                    <a:noFill/>
                    <a:ln>
                      <a:noFill/>
                    </a:ln>
                  </pic:spPr>
                </pic:pic>
              </a:graphicData>
            </a:graphic>
          </wp:inline>
        </w:drawing>
      </w:r>
    </w:p>
    <w:p w14:paraId="28BE7E34">
      <w:pPr>
        <w:rPr>
          <w:rFonts w:hint="default"/>
          <w:b/>
          <w:bCs/>
          <w:lang w:val="ru-RU"/>
        </w:rPr>
      </w:pPr>
    </w:p>
    <w:p w14:paraId="5F8BAC32">
      <w:pPr>
        <w:rPr>
          <w:rFonts w:hint="default"/>
          <w:b/>
          <w:bCs/>
          <w:lang w:val="ru-RU"/>
        </w:rPr>
      </w:pPr>
    </w:p>
    <w:p w14:paraId="6E906FC6">
      <w:pPr>
        <w:rPr>
          <w:rFonts w:hint="default"/>
          <w:b/>
          <w:bCs/>
          <w:lang w:val="ru-RU"/>
        </w:rPr>
      </w:pPr>
    </w:p>
    <w:p w14:paraId="5E409685">
      <w:pPr>
        <w:rPr>
          <w:rFonts w:hint="default"/>
          <w:b/>
          <w:bCs/>
          <w:lang w:val="ru-RU"/>
        </w:rPr>
      </w:pPr>
    </w:p>
    <w:p w14:paraId="57D07603">
      <w:pPr>
        <w:rPr>
          <w:rFonts w:hint="default"/>
          <w:b/>
          <w:bCs/>
          <w:lang w:val="ru-RU"/>
        </w:rPr>
      </w:pPr>
      <w:r>
        <w:rPr>
          <w:rFonts w:hint="default"/>
          <w:b/>
          <w:bCs/>
          <w:lang w:val="ru-RU"/>
        </w:rPr>
        <w:t>Effect of BTN on mollusk growth</w:t>
      </w:r>
    </w:p>
    <w:p w14:paraId="4D741B90">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Analysis of raw data (Fig. ++) revealed that mussels infected with BTN2 exhibited a slightly higher last-year growth increment compared to both BTN1-infected and healthy individuals. The distribution of growth increment values was similar between the latter two groups.</w:t>
      </w:r>
    </w:p>
    <w:p w14:paraId="4724A490">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Last-year growth increment was statistically significantly associated with mussel size, which was included as a covariate in Model 3. After accounting for the effect of this covariate, a significant relationship between growth increment and the factor BTN_Type was detected. Analysis of adjusted mean growth increment values for each level of this factor (Fig. ++) showed that the mean increment for BTN2-infected mussels was significantly higher than that for BTN1-infected and healthy mussels. No statistically significant differences were found between the latter two groups.</w:t>
      </w:r>
    </w:p>
    <w:p w14:paraId="3B7EFC81">
      <w:pPr>
        <w:rPr>
          <w:rFonts w:hint="default"/>
          <w:b w:val="0"/>
          <w:bCs w:val="0"/>
          <w:lang w:val="ru-RU"/>
        </w:rPr>
      </w:pPr>
    </w:p>
    <w:p w14:paraId="2E8CDBC4">
      <w:pPr>
        <w:rPr>
          <w:rFonts w:hint="default"/>
          <w:b w:val="0"/>
          <w:bCs w:val="0"/>
          <w:lang w:val="ru-RU"/>
        </w:rPr>
      </w:pPr>
    </w:p>
    <w:p w14:paraId="09C9F032">
      <w:pPr>
        <w:rPr>
          <w:rFonts w:hint="default"/>
          <w:b w:val="0"/>
          <w:bCs w:val="0"/>
          <w:lang w:val="ru-RU"/>
        </w:rPr>
      </w:pPr>
    </w:p>
    <w:p w14:paraId="2BDCE42B">
      <w:pPr>
        <w:rPr>
          <w:rFonts w:hint="default"/>
          <w:b w:val="0"/>
          <w:bCs w:val="0"/>
          <w:lang w:val="ru-RU"/>
        </w:rPr>
      </w:pPr>
    </w:p>
    <w:p w14:paraId="3D41FF61">
      <w:pPr>
        <w:rPr>
          <w:rFonts w:hint="default"/>
          <w:b w:val="0"/>
          <w:bCs w:val="0"/>
          <w:lang w:val="ru-RU"/>
        </w:rPr>
      </w:pPr>
      <w:r>
        <w:drawing>
          <wp:inline distT="0" distB="0" distL="114300" distR="114300">
            <wp:extent cx="5266690" cy="3160395"/>
            <wp:effectExtent l="0" t="0" r="6350" b="952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2"/>
                    <a:stretch>
                      <a:fillRect/>
                    </a:stretch>
                  </pic:blipFill>
                  <pic:spPr>
                    <a:xfrm>
                      <a:off x="0" y="0"/>
                      <a:ext cx="5266690" cy="3160395"/>
                    </a:xfrm>
                    <a:prstGeom prst="rect">
                      <a:avLst/>
                    </a:prstGeom>
                    <a:noFill/>
                    <a:ln>
                      <a:noFill/>
                    </a:ln>
                  </pic:spPr>
                </pic:pic>
              </a:graphicData>
            </a:graphic>
          </wp:inline>
        </w:drawing>
      </w:r>
      <w:bookmarkEnd w:id="0"/>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Helvetica">
    <w:altName w:val="Arial"/>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50"/>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383F74"/>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91715"/>
    <w:rsid w:val="00EC24C6"/>
    <w:rsid w:val="00EF2933"/>
    <w:rsid w:val="00F05146"/>
    <w:rsid w:val="00F1115D"/>
    <w:rsid w:val="00F3513C"/>
    <w:rsid w:val="00F465C5"/>
    <w:rsid w:val="00F5180D"/>
    <w:rsid w:val="00F51B21"/>
    <w:rsid w:val="00F51D87"/>
    <w:rsid w:val="00F8455C"/>
    <w:rsid w:val="088005EC"/>
    <w:rsid w:val="09C2553B"/>
    <w:rsid w:val="13A260BC"/>
    <w:rsid w:val="222E41A0"/>
    <w:rsid w:val="2E383F74"/>
    <w:rsid w:val="391B30B1"/>
    <w:rsid w:val="3A0A08C7"/>
    <w:rsid w:val="3A5B4A05"/>
    <w:rsid w:val="3D2E204C"/>
    <w:rsid w:val="40316764"/>
    <w:rsid w:val="4B32292F"/>
    <w:rsid w:val="4DC82D45"/>
    <w:rsid w:val="50225E22"/>
    <w:rsid w:val="552E3A44"/>
    <w:rsid w:val="571A361F"/>
    <w:rsid w:val="6A8F5933"/>
    <w:rsid w:val="71511E5F"/>
    <w:rsid w:val="719F7B15"/>
    <w:rsid w:val="7D0746CC"/>
    <w:rsid w:val="7F2C5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ind w:firstLine="641" w:firstLineChars="200"/>
      <w:jc w:val="both"/>
    </w:pPr>
    <w:rPr>
      <w:rFonts w:asciiTheme="minorAscii" w:hAnsiTheme="minorAscii" w:eastAsiaTheme="minorEastAsia" w:cstheme="minorBidi"/>
      <w:sz w:val="24"/>
      <w:lang w:val="en-US" w:eastAsia="zh-CN" w:bidi="ar-SA"/>
    </w:rPr>
  </w:style>
  <w:style w:type="paragraph" w:styleId="2">
    <w:name w:val="heading 1"/>
    <w:basedOn w:val="1"/>
    <w:next w:val="3"/>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32"/>
      <w:lang w:eastAsia="en-US"/>
      <w14:textFill>
        <w14:solidFill>
          <w14:schemeClr w14:val="tx1"/>
        </w14:solidFill>
      </w14:textFill>
    </w:rPr>
  </w:style>
  <w:style w:type="paragraph" w:styleId="4">
    <w:name w:val="heading 2"/>
    <w:basedOn w:val="1"/>
    <w:next w:val="3"/>
    <w:link w:val="151"/>
    <w:semiHidden/>
    <w:unhideWhenUsed/>
    <w:qFormat/>
    <w:uiPriority w:val="0"/>
    <w:pPr>
      <w:keepNext/>
      <w:keepLines/>
      <w:spacing w:before="200" w:after="0"/>
      <w:jc w:val="center"/>
      <w:outlineLvl w:val="1"/>
    </w:pPr>
    <w:rPr>
      <w:rFonts w:asciiTheme="majorAscii" w:hAnsiTheme="majorAscii" w:eastAsiaTheme="majorEastAsia" w:cstheme="majorBidi"/>
      <w:b/>
      <w:bCs/>
      <w:i/>
      <w:color w:val="000000" w:themeColor="text1"/>
      <w:szCs w:val="24"/>
      <w:lang w:eastAsia="en-US"/>
      <w14:textFill>
        <w14:solidFill>
          <w14:schemeClr w14:val="tx1"/>
        </w14:solidFill>
      </w14:textFill>
    </w:rPr>
  </w:style>
  <w:style w:type="paragraph" w:styleId="5">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6">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7">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8">
    <w:name w:val="heading 6"/>
    <w:basedOn w:val="1"/>
    <w:next w:val="3"/>
    <w:semiHidden/>
    <w:unhideWhenUsed/>
    <w:qFormat/>
    <w:uiPriority w:val="0"/>
    <w:pPr>
      <w:keepNext/>
      <w:keepLines/>
      <w:spacing w:before="200" w:after="0"/>
      <w:jc w:val="both"/>
      <w:outlineLvl w:val="5"/>
    </w:pPr>
    <w:rPr>
      <w:rFonts w:asciiTheme="majorAscii" w:hAnsiTheme="majorAscii" w:eastAsiaTheme="majorEastAsia" w:cstheme="majorBidi"/>
      <w:color w:val="000000" w:themeColor="text1"/>
      <w:sz w:val="20"/>
      <w:szCs w:val="24"/>
      <w:lang w:eastAsia="en-US"/>
      <w14:textFill>
        <w14:solidFill>
          <w14:schemeClr w14:val="tx1"/>
        </w14:solidFill>
      </w14:textFill>
    </w:rPr>
  </w:style>
  <w:style w:type="paragraph" w:styleId="9">
    <w:name w:val="heading 7"/>
    <w:basedOn w:val="1"/>
    <w:next w:val="1"/>
    <w:semiHidden/>
    <w:unhideWhenUsed/>
    <w:qFormat/>
    <w:uiPriority w:val="0"/>
    <w:pPr>
      <w:widowControl/>
      <w:spacing w:before="240" w:after="60"/>
      <w:outlineLvl w:val="6"/>
    </w:pPr>
    <w:rPr>
      <w:kern w:val="0"/>
      <w:sz w:val="24"/>
      <w:szCs w:val="24"/>
    </w:rPr>
  </w:style>
  <w:style w:type="paragraph" w:styleId="10">
    <w:name w:val="heading 8"/>
    <w:basedOn w:val="1"/>
    <w:next w:val="1"/>
    <w:semiHidden/>
    <w:unhideWhenUsed/>
    <w:qFormat/>
    <w:uiPriority w:val="0"/>
    <w:pPr>
      <w:widowControl/>
      <w:spacing w:before="240" w:after="60"/>
      <w:jc w:val="left"/>
      <w:outlineLvl w:val="7"/>
    </w:pPr>
    <w:rPr>
      <w:i/>
      <w:iCs/>
      <w:kern w:val="0"/>
      <w:sz w:val="24"/>
      <w:szCs w:val="24"/>
    </w:rPr>
  </w:style>
  <w:style w:type="paragraph" w:styleId="11">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152"/>
    <w:qFormat/>
    <w:uiPriority w:val="0"/>
    <w:pPr>
      <w:spacing w:before="0" w:after="140" w:line="276" w:lineRule="auto"/>
      <w:jc w:val="both"/>
    </w:pPr>
    <w:rPr>
      <w:rFonts w:ascii="Arial" w:hAnsi="Arial" w:eastAsia="NSimSun" w:cs="Lucida Sans"/>
      <w:color w:val="auto"/>
      <w:kern w:val="2"/>
      <w:szCs w:val="24"/>
      <w:lang w:val="ru-RU" w:bidi="hi-IN"/>
    </w:rPr>
  </w:style>
  <w:style w:type="character" w:styleId="14">
    <w:name w:val="HTML Sample"/>
    <w:basedOn w:val="12"/>
    <w:autoRedefine/>
    <w:qFormat/>
    <w:uiPriority w:val="0"/>
    <w:rPr>
      <w:rFonts w:ascii="Courier New" w:hAnsi="Courier New" w:cs="Courier New"/>
    </w:rPr>
  </w:style>
  <w:style w:type="character" w:styleId="15">
    <w:name w:val="FollowedHyperlink"/>
    <w:basedOn w:val="12"/>
    <w:autoRedefine/>
    <w:qFormat/>
    <w:uiPriority w:val="0"/>
    <w:rPr>
      <w:color w:val="800080"/>
      <w:u w:val="single"/>
    </w:rPr>
  </w:style>
  <w:style w:type="character" w:styleId="16">
    <w:name w:val="footnote reference"/>
    <w:basedOn w:val="12"/>
    <w:autoRedefine/>
    <w:qFormat/>
    <w:uiPriority w:val="0"/>
    <w:rPr>
      <w:vertAlign w:val="superscript"/>
    </w:rPr>
  </w:style>
  <w:style w:type="character" w:styleId="17">
    <w:name w:val="annotation reference"/>
    <w:basedOn w:val="12"/>
    <w:autoRedefine/>
    <w:qFormat/>
    <w:uiPriority w:val="0"/>
    <w:rPr>
      <w:sz w:val="21"/>
      <w:szCs w:val="21"/>
    </w:rPr>
  </w:style>
  <w:style w:type="character" w:styleId="18">
    <w:name w:val="endnote reference"/>
    <w:basedOn w:val="12"/>
    <w:autoRedefine/>
    <w:qFormat/>
    <w:uiPriority w:val="0"/>
    <w:rPr>
      <w:vertAlign w:val="superscript"/>
    </w:rPr>
  </w:style>
  <w:style w:type="character" w:styleId="19">
    <w:name w:val="HTML Acronym"/>
    <w:basedOn w:val="12"/>
    <w:autoRedefine/>
    <w:qFormat/>
    <w:uiPriority w:val="0"/>
  </w:style>
  <w:style w:type="character" w:styleId="20">
    <w:name w:val="Emphasis"/>
    <w:basedOn w:val="12"/>
    <w:autoRedefine/>
    <w:qFormat/>
    <w:uiPriority w:val="0"/>
    <w:rPr>
      <w:i/>
      <w:iCs/>
    </w:rPr>
  </w:style>
  <w:style w:type="character" w:styleId="21">
    <w:name w:val="Hyperlink"/>
    <w:basedOn w:val="12"/>
    <w:autoRedefine/>
    <w:qFormat/>
    <w:uiPriority w:val="0"/>
    <w:rPr>
      <w:color w:val="0000FF"/>
      <w:u w:val="single"/>
    </w:rPr>
  </w:style>
  <w:style w:type="character" w:styleId="22">
    <w:name w:val="HTML Keyboard"/>
    <w:basedOn w:val="12"/>
    <w:qFormat/>
    <w:uiPriority w:val="0"/>
    <w:rPr>
      <w:rFonts w:ascii="Courier New" w:hAnsi="Courier New" w:cs="Courier New"/>
      <w:sz w:val="20"/>
      <w:szCs w:val="20"/>
    </w:rPr>
  </w:style>
  <w:style w:type="character" w:styleId="23">
    <w:name w:val="HTML Code"/>
    <w:basedOn w:val="12"/>
    <w:autoRedefine/>
    <w:qFormat/>
    <w:uiPriority w:val="0"/>
    <w:rPr>
      <w:rFonts w:ascii="Courier New" w:hAnsi="Courier New" w:cs="Courier New"/>
      <w:sz w:val="20"/>
      <w:szCs w:val="20"/>
    </w:rPr>
  </w:style>
  <w:style w:type="character" w:styleId="24">
    <w:name w:val="page number"/>
    <w:basedOn w:val="12"/>
    <w:autoRedefine/>
    <w:qFormat/>
    <w:uiPriority w:val="0"/>
  </w:style>
  <w:style w:type="character" w:styleId="25">
    <w:name w:val="line number"/>
    <w:basedOn w:val="12"/>
    <w:qFormat/>
    <w:uiPriority w:val="0"/>
  </w:style>
  <w:style w:type="character" w:styleId="26">
    <w:name w:val="HTML Definition"/>
    <w:basedOn w:val="12"/>
    <w:autoRedefine/>
    <w:qFormat/>
    <w:uiPriority w:val="0"/>
    <w:rPr>
      <w:i/>
      <w:iCs/>
    </w:rPr>
  </w:style>
  <w:style w:type="character" w:styleId="27">
    <w:name w:val="HTML Variable"/>
    <w:basedOn w:val="12"/>
    <w:qFormat/>
    <w:uiPriority w:val="0"/>
    <w:rPr>
      <w:i/>
      <w:iCs/>
    </w:rPr>
  </w:style>
  <w:style w:type="character" w:styleId="28">
    <w:name w:val="HTML Typewriter"/>
    <w:basedOn w:val="12"/>
    <w:autoRedefine/>
    <w:qFormat/>
    <w:uiPriority w:val="0"/>
    <w:rPr>
      <w:rFonts w:ascii="Courier New" w:hAnsi="Courier New" w:cs="Courier New"/>
      <w:sz w:val="20"/>
      <w:szCs w:val="20"/>
    </w:rPr>
  </w:style>
  <w:style w:type="character" w:styleId="29">
    <w:name w:val="Strong"/>
    <w:basedOn w:val="12"/>
    <w:qFormat/>
    <w:uiPriority w:val="0"/>
    <w:rPr>
      <w:b/>
      <w:bCs/>
    </w:rPr>
  </w:style>
  <w:style w:type="character" w:styleId="30">
    <w:name w:val="HTML Cite"/>
    <w:basedOn w:val="12"/>
    <w:autoRedefine/>
    <w:qFormat/>
    <w:uiPriority w:val="0"/>
    <w:rPr>
      <w:i/>
      <w:iCs/>
    </w:rPr>
  </w:style>
  <w:style w:type="paragraph" w:styleId="31">
    <w:name w:val="Balloon Text"/>
    <w:basedOn w:val="1"/>
    <w:autoRedefine/>
    <w:qFormat/>
    <w:uiPriority w:val="0"/>
    <w:rPr>
      <w:sz w:val="16"/>
      <w:szCs w:val="16"/>
    </w:rPr>
  </w:style>
  <w:style w:type="paragraph" w:styleId="32">
    <w:name w:val="List 5"/>
    <w:basedOn w:val="1"/>
    <w:autoRedefine/>
    <w:qFormat/>
    <w:uiPriority w:val="0"/>
    <w:pPr>
      <w:ind w:left="1800" w:hanging="360"/>
    </w:pPr>
  </w:style>
  <w:style w:type="paragraph" w:styleId="33">
    <w:name w:val="List Continue"/>
    <w:basedOn w:val="1"/>
    <w:autoRedefine/>
    <w:qFormat/>
    <w:uiPriority w:val="0"/>
    <w:pPr>
      <w:spacing w:after="120"/>
      <w:ind w:left="360"/>
    </w:pPr>
  </w:style>
  <w:style w:type="paragraph" w:styleId="34">
    <w:name w:val="Body Text 2"/>
    <w:basedOn w:val="1"/>
    <w:qFormat/>
    <w:uiPriority w:val="0"/>
    <w:pPr>
      <w:spacing w:after="120" w:line="480" w:lineRule="auto"/>
    </w:pPr>
  </w:style>
  <w:style w:type="paragraph" w:styleId="35">
    <w:name w:val="List Number 5"/>
    <w:basedOn w:val="1"/>
    <w:qFormat/>
    <w:uiPriority w:val="0"/>
    <w:pPr>
      <w:numPr>
        <w:ilvl w:val="0"/>
        <w:numId w:val="1"/>
      </w:numPr>
    </w:pPr>
  </w:style>
  <w:style w:type="paragraph" w:styleId="36">
    <w:name w:val="Closing"/>
    <w:basedOn w:val="1"/>
    <w:autoRedefine/>
    <w:qFormat/>
    <w:uiPriority w:val="0"/>
    <w:pPr>
      <w:ind w:left="4320"/>
    </w:pPr>
  </w:style>
  <w:style w:type="paragraph" w:styleId="37">
    <w:name w:val="Normal Indent"/>
    <w:basedOn w:val="1"/>
    <w:autoRedefine/>
    <w:qFormat/>
    <w:uiPriority w:val="0"/>
    <w:pPr>
      <w:ind w:left="708"/>
    </w:pPr>
  </w:style>
  <w:style w:type="paragraph" w:styleId="38">
    <w:name w:val="envelope return"/>
    <w:basedOn w:val="1"/>
    <w:uiPriority w:val="0"/>
    <w:rPr>
      <w:rFonts w:ascii="Arial" w:hAnsi="Arial" w:cs="Arial"/>
      <w:sz w:val="20"/>
    </w:rPr>
  </w:style>
  <w:style w:type="paragraph" w:styleId="39">
    <w:name w:val="Plain Text"/>
    <w:basedOn w:val="1"/>
    <w:qFormat/>
    <w:uiPriority w:val="0"/>
    <w:rPr>
      <w:rFonts w:ascii="Courier New" w:hAnsi="Courier New" w:cs="Courier New"/>
      <w:sz w:val="20"/>
    </w:rPr>
  </w:style>
  <w:style w:type="paragraph" w:styleId="40">
    <w:name w:val="Body Text Indent 3"/>
    <w:basedOn w:val="1"/>
    <w:qFormat/>
    <w:uiPriority w:val="0"/>
    <w:pPr>
      <w:spacing w:after="120"/>
      <w:ind w:left="360"/>
    </w:pPr>
    <w:rPr>
      <w:sz w:val="16"/>
      <w:szCs w:val="16"/>
    </w:rPr>
  </w:style>
  <w:style w:type="paragraph" w:styleId="41">
    <w:name w:val="endnote text"/>
    <w:basedOn w:val="1"/>
    <w:qFormat/>
    <w:uiPriority w:val="0"/>
    <w:pPr>
      <w:snapToGrid w:val="0"/>
      <w:jc w:val="left"/>
    </w:pPr>
  </w:style>
  <w:style w:type="paragraph" w:styleId="42">
    <w:name w:val="caption"/>
    <w:basedOn w:val="1"/>
    <w:next w:val="1"/>
    <w:semiHidden/>
    <w:unhideWhenUsed/>
    <w:qFormat/>
    <w:uiPriority w:val="0"/>
    <w:rPr>
      <w:rFonts w:ascii="Arial" w:hAnsi="Arial" w:eastAsia="黑体" w:cs="Arial"/>
      <w:sz w:val="20"/>
    </w:rPr>
  </w:style>
  <w:style w:type="paragraph" w:styleId="43">
    <w:name w:val="annotation text"/>
    <w:basedOn w:val="1"/>
    <w:uiPriority w:val="0"/>
    <w:pPr>
      <w:jc w:val="left"/>
    </w:pPr>
  </w:style>
  <w:style w:type="paragraph" w:styleId="44">
    <w:name w:val="index 1"/>
    <w:basedOn w:val="1"/>
    <w:next w:val="1"/>
    <w:qFormat/>
    <w:uiPriority w:val="0"/>
  </w:style>
  <w:style w:type="paragraph" w:styleId="45">
    <w:name w:val="annotation subject"/>
    <w:basedOn w:val="43"/>
    <w:next w:val="43"/>
    <w:qFormat/>
    <w:uiPriority w:val="0"/>
    <w:rPr>
      <w:b/>
      <w:bCs/>
    </w:rPr>
  </w:style>
  <w:style w:type="paragraph" w:styleId="46">
    <w:name w:val="Document Map"/>
    <w:basedOn w:val="1"/>
    <w:qFormat/>
    <w:uiPriority w:val="0"/>
    <w:pPr>
      <w:shd w:val="clear" w:color="auto" w:fill="000080"/>
    </w:pPr>
  </w:style>
  <w:style w:type="paragraph" w:styleId="47">
    <w:name w:val="footnote text"/>
    <w:basedOn w:val="1"/>
    <w:qFormat/>
    <w:uiPriority w:val="0"/>
    <w:pPr>
      <w:snapToGrid w:val="0"/>
      <w:jc w:val="left"/>
    </w:pPr>
    <w:rPr>
      <w:sz w:val="18"/>
      <w:szCs w:val="18"/>
    </w:rPr>
  </w:style>
  <w:style w:type="paragraph" w:styleId="48">
    <w:name w:val="toc 8"/>
    <w:basedOn w:val="1"/>
    <w:next w:val="1"/>
    <w:qFormat/>
    <w:uiPriority w:val="0"/>
    <w:pPr>
      <w:ind w:left="2940" w:leftChars="1400"/>
    </w:pPr>
  </w:style>
  <w:style w:type="paragraph" w:styleId="49">
    <w:name w:val="index 2"/>
    <w:basedOn w:val="1"/>
    <w:next w:val="1"/>
    <w:qFormat/>
    <w:uiPriority w:val="0"/>
    <w:pPr>
      <w:ind w:left="200" w:leftChars="200"/>
    </w:pPr>
  </w:style>
  <w:style w:type="paragraph" w:styleId="50">
    <w:name w:val="List Number 3"/>
    <w:basedOn w:val="1"/>
    <w:qFormat/>
    <w:uiPriority w:val="0"/>
    <w:pPr>
      <w:numPr>
        <w:ilvl w:val="0"/>
        <w:numId w:val="2"/>
      </w:numPr>
    </w:pPr>
  </w:style>
  <w:style w:type="paragraph" w:styleId="51">
    <w:name w:val="HTML Address"/>
    <w:basedOn w:val="1"/>
    <w:qFormat/>
    <w:uiPriority w:val="0"/>
    <w:rPr>
      <w:i/>
      <w:iCs/>
    </w:rPr>
  </w:style>
  <w:style w:type="paragraph" w:styleId="52">
    <w:name w:val="index 7"/>
    <w:basedOn w:val="1"/>
    <w:next w:val="1"/>
    <w:qFormat/>
    <w:uiPriority w:val="0"/>
    <w:pPr>
      <w:ind w:left="1200" w:leftChars="1200"/>
    </w:pPr>
  </w:style>
  <w:style w:type="paragraph" w:styleId="53">
    <w:name w:val="index 3"/>
    <w:basedOn w:val="1"/>
    <w:next w:val="1"/>
    <w:qFormat/>
    <w:uiPriority w:val="0"/>
    <w:pPr>
      <w:ind w:left="400" w:leftChars="400"/>
    </w:pPr>
  </w:style>
  <w:style w:type="paragraph" w:styleId="54">
    <w:name w:val="index 5"/>
    <w:basedOn w:val="1"/>
    <w:next w:val="1"/>
    <w:qFormat/>
    <w:uiPriority w:val="0"/>
    <w:pPr>
      <w:ind w:left="800" w:leftChars="800"/>
    </w:pPr>
  </w:style>
  <w:style w:type="paragraph" w:styleId="55">
    <w:name w:val="index 4"/>
    <w:basedOn w:val="1"/>
    <w:next w:val="1"/>
    <w:qFormat/>
    <w:uiPriority w:val="0"/>
    <w:pPr>
      <w:ind w:left="600" w:leftChars="600"/>
    </w:pPr>
  </w:style>
  <w:style w:type="paragraph" w:styleId="56">
    <w:name w:val="header"/>
    <w:basedOn w:val="1"/>
    <w:qFormat/>
    <w:uiPriority w:val="0"/>
    <w:pPr>
      <w:tabs>
        <w:tab w:val="center" w:pos="4153"/>
        <w:tab w:val="right" w:pos="8306"/>
      </w:tabs>
    </w:pPr>
  </w:style>
  <w:style w:type="paragraph" w:styleId="57">
    <w:name w:val="toc 9"/>
    <w:basedOn w:val="1"/>
    <w:next w:val="1"/>
    <w:qFormat/>
    <w:uiPriority w:val="0"/>
    <w:pPr>
      <w:ind w:left="3360" w:leftChars="1600"/>
    </w:pPr>
  </w:style>
  <w:style w:type="paragraph" w:styleId="58">
    <w:name w:val="toc 7"/>
    <w:basedOn w:val="1"/>
    <w:next w:val="1"/>
    <w:qFormat/>
    <w:uiPriority w:val="0"/>
    <w:pPr>
      <w:ind w:left="2520" w:leftChars="1200"/>
    </w:pPr>
  </w:style>
  <w:style w:type="paragraph" w:styleId="59">
    <w:name w:val="index 6"/>
    <w:basedOn w:val="1"/>
    <w:next w:val="1"/>
    <w:qFormat/>
    <w:uiPriority w:val="0"/>
    <w:pPr>
      <w:ind w:left="1000" w:leftChars="1000"/>
    </w:pPr>
  </w:style>
  <w:style w:type="paragraph" w:styleId="60">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1">
    <w:name w:val="index 8"/>
    <w:basedOn w:val="1"/>
    <w:next w:val="1"/>
    <w:qFormat/>
    <w:uiPriority w:val="0"/>
    <w:pPr>
      <w:ind w:left="1400" w:leftChars="140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4"/>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uiPriority w:val="0"/>
    <w:pPr>
      <w:numPr>
        <w:ilvl w:val="0"/>
        <w:numId w:val="4"/>
      </w:numPr>
    </w:pPr>
  </w:style>
  <w:style w:type="paragraph" w:styleId="78">
    <w:name w:val="Body Text First Indent"/>
    <w:basedOn w:val="3"/>
    <w:qFormat/>
    <w:uiPriority w:val="0"/>
    <w:pPr>
      <w:ind w:firstLine="210"/>
    </w:pPr>
  </w:style>
  <w:style w:type="paragraph" w:styleId="79">
    <w:name w:val="Body Text First Indent 2"/>
    <w:basedOn w:val="80"/>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lang w:eastAsia="en-US"/>
      <w14:textFill>
        <w14:solidFill>
          <w14:schemeClr w14:val="tx1"/>
        </w14:solidFill>
      </w14:textFill>
    </w:rPr>
  </w:style>
  <w:style w:type="paragraph" w:styleId="86">
    <w:name w:val="footer"/>
    <w:basedOn w:val="1"/>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3"/>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3"/>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3"/>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3"/>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3"/>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3"/>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3"/>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3"/>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3"/>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3"/>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3"/>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3"/>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3"/>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3"/>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3"/>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3"/>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Заголовок 2 Знак"/>
    <w:basedOn w:val="12"/>
    <w:link w:val="4"/>
    <w:qFormat/>
    <w:uiPriority w:val="9"/>
    <w:rPr>
      <w:rFonts w:asciiTheme="majorAscii" w:hAnsiTheme="majorAscii" w:eastAsiaTheme="majorEastAsia" w:cstheme="majorBidi"/>
      <w:b/>
      <w:color w:val="4874CB" w:themeColor="accent1"/>
      <w:sz w:val="28"/>
      <w:szCs w:val="28"/>
      <w:lang w:val="ru-RU" w:eastAsia="en-US"/>
      <w14:textFill>
        <w14:solidFill>
          <w14:schemeClr w14:val="accent1"/>
        </w14:solidFill>
      </w14:textFill>
    </w:rPr>
  </w:style>
  <w:style w:type="character" w:customStyle="1" w:styleId="152">
    <w:name w:val="Body Text Char"/>
    <w:basedOn w:val="12"/>
    <w:link w:val="3"/>
    <w:uiPriority w:val="0"/>
    <w:rPr>
      <w:rFonts w:eastAsia="NSimSun" w:cs="Lucida Sans" w:asciiTheme="minorAscii" w:hAnsiTheme="minorAscii"/>
      <w:color w:val="auto"/>
      <w:kern w:val="2"/>
      <w:szCs w:val="24"/>
      <w:lang w:val="ru-RU" w:eastAsia="en-US" w:bidi="hi-IN"/>
    </w:rPr>
  </w:style>
  <w:style w:type="paragraph" w:customStyle="1" w:styleId="153">
    <w:name w:val="Image Caption"/>
    <w:basedOn w:val="42"/>
    <w:qFormat/>
    <w:uiPriority w:val="0"/>
    <w:pPr>
      <w:jc w:val="both"/>
    </w:pPr>
    <w:rPr>
      <w:rFonts w:asciiTheme="minorAscii" w:hAnsiTheme="minorAscii" w:eastAsiaTheme="minorEastAsia" w:cstheme="minorBidi"/>
      <w:i/>
      <w:sz w:val="20"/>
      <w:szCs w:val="24"/>
      <w:lang w:eastAsia="en-US"/>
    </w:rPr>
  </w:style>
  <w:style w:type="paragraph" w:customStyle="1" w:styleId="154">
    <w:name w:val="Table"/>
    <w:basedOn w:val="1"/>
    <w:next w:val="1"/>
    <w:qFormat/>
    <w:uiPriority w:val="0"/>
    <w:pPr>
      <w:spacing w:before="36" w:after="36"/>
    </w:pPr>
    <w:rPr>
      <w:rFonts w:ascii="Times New Roman" w:hAnsi="Times New Roman" w:cs="Times New Roman" w:eastAsiaTheme="minorEastAsia"/>
      <w:sz w:val="16"/>
      <w:szCs w:val="16"/>
      <w:lang w:val="ru-RU"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937</Words>
  <Characters>6061</Characters>
  <Lines>0</Lines>
  <Paragraphs>0</Paragraphs>
  <TotalTime>39</TotalTime>
  <ScaleCrop>false</ScaleCrop>
  <LinksUpToDate>false</LinksUpToDate>
  <CharactersWithSpaces>6935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2026-05-07T03:34:00Z</dcterms:created>
  <dc:creator>WPS_1775125980</dc:creator>
  <cp:lastModifiedBy>WPS_1775125980</cp:lastModifiedBy>
  <dcterms:modified xsi:type="dcterms:W3CDTF">2026-05-07T14:57:50Z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212A1FD1F4024289882D1DA347431307_13</vt:lpwstr>
  </property>
  <property fmtid="{D5CDD505-2E9C-101B-9397-08002B2CF9AE}" pid="4" name="KSOTemplateDocerSaveRecord">
    <vt:lpwstr>eyJoZGlkIjoiNGI5N2MxZmVjMDQ1ZWNjODI2ODFiYTk0ZTA3M2RjODQiLCJ1c2VySWQiOiI4MjQ2MzQ1OTkzMjcifQ==</vt:lpwstr>
  </property>
</Properties>
</file>