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1DFE90">
      <w:pPr>
        <w:spacing w:line="360" w:lineRule="auto"/>
        <w:rPr>
          <w:lang w:val="en-US"/>
        </w:rPr>
      </w:pPr>
      <w:r>
        <w:rPr>
          <w:rFonts w:ascii="Arial" w:hAnsi="Arial" w:cs="Arial"/>
          <w:sz w:val="20"/>
        </w:rPr>
        <mc:AlternateContent>
          <mc:Choice Requires="wps">
            <w:drawing>
              <wp:anchor distT="0" distB="0" distL="114300" distR="114300" simplePos="0" relativeHeight="251660288" behindDoc="0" locked="0" layoutInCell="1" allowOverlap="1">
                <wp:simplePos x="0" y="0"/>
                <wp:positionH relativeFrom="margin">
                  <wp:posOffset>-30480</wp:posOffset>
                </wp:positionH>
                <wp:positionV relativeFrom="margin">
                  <wp:posOffset>1402715</wp:posOffset>
                </wp:positionV>
                <wp:extent cx="6041390" cy="0"/>
                <wp:effectExtent l="0" t="4445" r="0" b="5080"/>
                <wp:wrapSquare wrapText="left"/>
                <wp:docPr id="1" name="Line 6"/>
                <wp:cNvGraphicFramePr/>
                <a:graphic xmlns:a="http://schemas.openxmlformats.org/drawingml/2006/main">
                  <a:graphicData uri="http://schemas.microsoft.com/office/word/2010/wordprocessingShape">
                    <wps:wsp>
                      <wps:cNvCnPr>
                        <a:cxnSpLocks noChangeShapeType="1"/>
                      </wps:cNvCnPr>
                      <wps:spPr bwMode="auto">
                        <a:xfrm>
                          <a:off x="0" y="0"/>
                          <a:ext cx="6041390" cy="0"/>
                        </a:xfrm>
                        <a:prstGeom prst="line">
                          <a:avLst/>
                        </a:prstGeom>
                        <a:noFill/>
                        <a:ln w="9525">
                          <a:solidFill>
                            <a:srgbClr val="000000"/>
                          </a:solidFill>
                          <a:round/>
                        </a:ln>
                        <a:effectLst/>
                      </wps:spPr>
                      <wps:bodyPr/>
                    </wps:wsp>
                  </a:graphicData>
                </a:graphic>
              </wp:anchor>
            </w:drawing>
          </mc:Choice>
          <mc:Fallback>
            <w:pict>
              <v:line id="Line 6" o:spid="_x0000_s1026" o:spt="20" style="position:absolute;left:0pt;margin-left:-2.4pt;margin-top:110.45pt;height:0pt;width:475.7pt;mso-position-horizontal-relative:margin;mso-position-vertical-relative:margin;mso-wrap-distance-bottom:0pt;mso-wrap-distance-left:9pt;mso-wrap-distance-right:9pt;mso-wrap-distance-top:0pt;z-index:251660288;mso-width-relative:page;mso-height-relative:page;" filled="f" stroked="t" coordsize="21600,21600" o:gfxdata="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03ezddgAAAAKAQAADwAAAAAAAAABACAAAAAiAAAA&#10;ZHJzL2Rvd25yZXYueG1sUEsBAhQAFAAAAAgAh07iQMRZtIjOAQAArQMAAA4AAAAAAAAAAQAgAAAA&#10;JwEAAGRycy9lMm9Eb2MueG1sUEsFBgAAAAAGAAYAWQEAAGcFAAAAAA==&#10;">
                <v:fill on="f" focussize="0,0"/>
                <v:stroke color="#000000" joinstyle="round"/>
                <v:imagedata o:title=""/>
                <o:lock v:ext="edit" aspectratio="f"/>
                <w10:wrap type="square" side="left"/>
              </v:line>
            </w:pict>
          </mc:Fallback>
        </mc:AlternateContent>
      </w:r>
      <w:r>
        <w:drawing>
          <wp:anchor distT="0" distB="0" distL="114300" distR="114300" simplePos="0" relativeHeight="251659264" behindDoc="0" locked="0" layoutInCell="1" allowOverlap="1">
            <wp:simplePos x="0" y="0"/>
            <wp:positionH relativeFrom="column">
              <wp:posOffset>1388745</wp:posOffset>
            </wp:positionH>
            <wp:positionV relativeFrom="paragraph">
              <wp:posOffset>-80645</wp:posOffset>
            </wp:positionV>
            <wp:extent cx="2524760" cy="1000125"/>
            <wp:effectExtent l="19050" t="0" r="8890" b="0"/>
            <wp:wrapTopAndBottom/>
            <wp:docPr id="4" name="Рисунок 4" descr="Protistology_Bl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descr="Protistology_Blank"/>
                    <pic:cNvPicPr>
                      <a:picLocks noChangeAspect="1" noChangeArrowheads="1"/>
                    </pic:cNvPicPr>
                  </pic:nvPicPr>
                  <pic:blipFill>
                    <a:blip r:embed="rId4" cstate="print">
                      <a:lum contrast="6000"/>
                    </a:blip>
                    <a:srcRect/>
                    <a:stretch>
                      <a:fillRect/>
                    </a:stretch>
                  </pic:blipFill>
                  <pic:spPr>
                    <a:xfrm>
                      <a:off x="0" y="0"/>
                      <a:ext cx="2524760" cy="1000125"/>
                    </a:xfrm>
                    <a:prstGeom prst="rect">
                      <a:avLst/>
                    </a:prstGeom>
                    <a:noFill/>
                    <a:ln w="9525">
                      <a:noFill/>
                      <a:miter lim="800000"/>
                      <a:headEnd/>
                      <a:tailEnd/>
                    </a:ln>
                  </pic:spPr>
                </pic:pic>
              </a:graphicData>
            </a:graphic>
          </wp:anchor>
        </w:drawing>
      </w:r>
      <w:r>
        <w:rPr>
          <w:sz w:val="20"/>
        </w:rPr>
        <w:drawing>
          <wp:anchor distT="0" distB="0" distL="114300" distR="114300" simplePos="0" relativeHeight="251660288" behindDoc="0" locked="0" layoutInCell="1" allowOverlap="1">
            <wp:simplePos x="0" y="0"/>
            <wp:positionH relativeFrom="column">
              <wp:posOffset>17145</wp:posOffset>
            </wp:positionH>
            <wp:positionV relativeFrom="paragraph">
              <wp:posOffset>-194945</wp:posOffset>
            </wp:positionV>
            <wp:extent cx="1148715" cy="1137285"/>
            <wp:effectExtent l="19050" t="0" r="0" b="0"/>
            <wp:wrapSquare wrapText="bothSides"/>
            <wp:docPr id="7" name="Рисунок 7" descr="logo_ob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descr="logo_obl"/>
                    <pic:cNvPicPr>
                      <a:picLocks noChangeAspect="1" noChangeArrowheads="1"/>
                    </pic:cNvPicPr>
                  </pic:nvPicPr>
                  <pic:blipFill>
                    <a:blip r:embed="rId5" cstate="print">
                      <a:lum contrast="6000"/>
                    </a:blip>
                    <a:srcRect/>
                    <a:stretch>
                      <a:fillRect/>
                    </a:stretch>
                  </pic:blipFill>
                  <pic:spPr>
                    <a:xfrm>
                      <a:off x="0" y="0"/>
                      <a:ext cx="1148715" cy="1137285"/>
                    </a:xfrm>
                    <a:prstGeom prst="rect">
                      <a:avLst/>
                    </a:prstGeom>
                    <a:noFill/>
                    <a:ln w="9525">
                      <a:noFill/>
                      <a:miter lim="800000"/>
                      <a:headEnd/>
                      <a:tailEnd/>
                    </a:ln>
                  </pic:spPr>
                </pic:pic>
              </a:graphicData>
            </a:graphic>
          </wp:anchor>
        </w:drawing>
      </w:r>
      <w:r>
        <w:rPr>
          <w:lang w:val="en-US"/>
        </w:rPr>
        <w:t xml:space="preserve"> </w:t>
      </w:r>
    </w:p>
    <w:p w14:paraId="3DEACDC4">
      <w:pPr>
        <w:autoSpaceDE w:val="0"/>
        <w:autoSpaceDN w:val="0"/>
        <w:adjustRightInd w:val="0"/>
        <w:rPr>
          <w:b/>
          <w:sz w:val="22"/>
          <w:szCs w:val="22"/>
          <w:lang w:val="en-US"/>
        </w:rPr>
      </w:pPr>
    </w:p>
    <w:p w14:paraId="3DBE7CCD">
      <w:pPr>
        <w:autoSpaceDE w:val="0"/>
        <w:autoSpaceDN w:val="0"/>
        <w:adjustRightInd w:val="0"/>
        <w:rPr>
          <w:b/>
          <w:sz w:val="22"/>
          <w:szCs w:val="22"/>
          <w:lang w:val="en-US"/>
        </w:rPr>
      </w:pPr>
    </w:p>
    <w:p w14:paraId="0C23DB6E">
      <w:pPr>
        <w:autoSpaceDE w:val="0"/>
        <w:autoSpaceDN w:val="0"/>
        <w:adjustRightInd w:val="0"/>
        <w:rPr>
          <w:b/>
          <w:sz w:val="22"/>
          <w:szCs w:val="22"/>
        </w:rPr>
      </w:pPr>
    </w:p>
    <w:p w14:paraId="55262294">
      <w:pPr>
        <w:autoSpaceDE w:val="0"/>
        <w:autoSpaceDN w:val="0"/>
        <w:adjustRightInd w:val="0"/>
        <w:rPr>
          <w:b/>
          <w:bCs/>
          <w:sz w:val="22"/>
          <w:szCs w:val="22"/>
          <w:lang w:val="en-US"/>
        </w:rPr>
      </w:pPr>
      <w:r>
        <w:rPr>
          <w:b/>
          <w:sz w:val="22"/>
          <w:szCs w:val="22"/>
          <w:lang w:val="en-US"/>
        </w:rPr>
        <w:t>REFEREE REPORT</w:t>
      </w:r>
    </w:p>
    <w:p w14:paraId="0F42F6CD">
      <w:pPr>
        <w:autoSpaceDE w:val="0"/>
        <w:autoSpaceDN w:val="0"/>
        <w:adjustRightInd w:val="0"/>
        <w:rPr>
          <w:b/>
          <w:bCs/>
          <w:sz w:val="22"/>
          <w:szCs w:val="22"/>
          <w:lang w:val="en-US"/>
        </w:rPr>
      </w:pPr>
    </w:p>
    <w:p w14:paraId="5047B3A2">
      <w:pPr>
        <w:autoSpaceDE w:val="0"/>
        <w:autoSpaceDN w:val="0"/>
        <w:adjustRightInd w:val="0"/>
        <w:rPr>
          <w:b/>
          <w:bCs/>
          <w:sz w:val="22"/>
          <w:szCs w:val="22"/>
          <w:lang w:val="en-US"/>
        </w:rPr>
      </w:pPr>
      <w:r>
        <w:rPr>
          <w:b/>
          <w:bCs/>
          <w:sz w:val="22"/>
          <w:szCs w:val="22"/>
          <w:lang w:val="en-US"/>
        </w:rPr>
        <w:t xml:space="preserve">Reviewer </w:t>
      </w:r>
      <w:r>
        <w:rPr>
          <w:bCs/>
          <w:sz w:val="22"/>
          <w:szCs w:val="22"/>
          <w:lang w:val="en-US"/>
        </w:rPr>
        <w:t>2</w:t>
      </w:r>
    </w:p>
    <w:p w14:paraId="27521B0F">
      <w:pPr>
        <w:autoSpaceDE w:val="0"/>
        <w:autoSpaceDN w:val="0"/>
        <w:adjustRightInd w:val="0"/>
        <w:rPr>
          <w:b/>
          <w:bCs/>
          <w:sz w:val="20"/>
          <w:lang w:val="en-US"/>
        </w:rPr>
      </w:pPr>
    </w:p>
    <w:p w14:paraId="373E71FF">
      <w:pPr>
        <w:rPr>
          <w:bCs/>
          <w:sz w:val="22"/>
          <w:szCs w:val="22"/>
          <w:lang w:val="en-US"/>
        </w:rPr>
      </w:pPr>
      <w:r>
        <w:rPr>
          <w:b/>
          <w:bCs/>
          <w:sz w:val="22"/>
          <w:szCs w:val="22"/>
          <w:lang w:val="en-US"/>
        </w:rPr>
        <w:t xml:space="preserve">Manuscript: </w:t>
      </w:r>
      <w:r>
        <w:rPr>
          <w:sz w:val="22"/>
          <w:szCs w:val="22"/>
          <w:lang w:val="en-US"/>
        </w:rPr>
        <w:t>JP2026-05</w:t>
      </w:r>
    </w:p>
    <w:p w14:paraId="73CC9BC3">
      <w:pPr>
        <w:rPr>
          <w:b/>
          <w:bCs/>
          <w:sz w:val="22"/>
          <w:szCs w:val="22"/>
          <w:lang w:val="en-US"/>
        </w:rPr>
      </w:pPr>
      <w:r>
        <w:rPr>
          <w:b/>
          <w:bCs/>
          <w:sz w:val="22"/>
          <w:szCs w:val="22"/>
          <w:lang w:val="en-US"/>
        </w:rPr>
        <w:t xml:space="preserve">Title: </w:t>
      </w:r>
      <w:r>
        <w:rPr>
          <w:bCs/>
          <w:sz w:val="22"/>
          <w:szCs w:val="22"/>
          <w:lang w:val="en-US" w:eastAsia="sr-Latn-CS"/>
        </w:rPr>
        <w:t>Diversity of ciliates – endosymbionts of the intestine of Przewalski’s horses from the Orenburg Nature Reserve</w:t>
      </w:r>
      <w:r>
        <w:rPr>
          <w:b/>
          <w:bCs/>
          <w:sz w:val="22"/>
          <w:szCs w:val="22"/>
          <w:lang w:val="en-US"/>
        </w:rPr>
        <w:t xml:space="preserve"> </w:t>
      </w:r>
    </w:p>
    <w:p w14:paraId="0AD3DB3F">
      <w:pPr>
        <w:rPr>
          <w:sz w:val="22"/>
          <w:szCs w:val="22"/>
          <w:lang w:val="en-US"/>
        </w:rPr>
      </w:pPr>
      <w:r>
        <w:rPr>
          <w:b/>
          <w:bCs/>
          <w:sz w:val="22"/>
          <w:szCs w:val="22"/>
          <w:lang w:val="en-US"/>
        </w:rPr>
        <w:t xml:space="preserve">Authors: </w:t>
      </w:r>
      <w:r>
        <w:rPr>
          <w:bCs/>
          <w:sz w:val="22"/>
          <w:szCs w:val="22"/>
          <w:lang w:val="en-US"/>
        </w:rPr>
        <w:t>Olga S. Alekseeva, Ludmila V. Chistyakova, Vadim M. Khaitov, Evgeny A. Bulgakov, and Olga A. Kornilova</w:t>
      </w:r>
    </w:p>
    <w:p w14:paraId="19D081C3">
      <w:pPr>
        <w:spacing w:line="276" w:lineRule="auto"/>
        <w:rPr>
          <w:sz w:val="20"/>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1"/>
        <w:gridCol w:w="1591"/>
        <w:gridCol w:w="1591"/>
        <w:gridCol w:w="1591"/>
        <w:gridCol w:w="1591"/>
        <w:gridCol w:w="1591"/>
      </w:tblGrid>
      <w:tr w14:paraId="1CF40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1" w:type="dxa"/>
          </w:tcPr>
          <w:p w14:paraId="03505199">
            <w:pPr>
              <w:autoSpaceDE w:val="0"/>
              <w:autoSpaceDN w:val="0"/>
              <w:adjustRightInd w:val="0"/>
              <w:rPr>
                <w:b/>
                <w:sz w:val="20"/>
                <w:lang w:val="en-US"/>
              </w:rPr>
            </w:pPr>
            <w:r>
              <w:rPr>
                <w:b/>
                <w:sz w:val="20"/>
                <w:lang w:val="en-US"/>
              </w:rPr>
              <w:t>Ratings</w:t>
            </w:r>
          </w:p>
        </w:tc>
        <w:tc>
          <w:tcPr>
            <w:tcW w:w="1591" w:type="dxa"/>
            <w:vAlign w:val="center"/>
          </w:tcPr>
          <w:p w14:paraId="720653FF">
            <w:pPr>
              <w:autoSpaceDE w:val="0"/>
              <w:autoSpaceDN w:val="0"/>
              <w:adjustRightInd w:val="0"/>
              <w:jc w:val="center"/>
              <w:rPr>
                <w:b/>
                <w:sz w:val="20"/>
                <w:lang w:val="en-US"/>
              </w:rPr>
            </w:pPr>
            <w:r>
              <w:rPr>
                <w:b/>
                <w:sz w:val="20"/>
                <w:lang w:val="en-US"/>
              </w:rPr>
              <w:t>Originality</w:t>
            </w:r>
          </w:p>
        </w:tc>
        <w:tc>
          <w:tcPr>
            <w:tcW w:w="1591" w:type="dxa"/>
            <w:vAlign w:val="center"/>
          </w:tcPr>
          <w:p w14:paraId="55F51771">
            <w:pPr>
              <w:autoSpaceDE w:val="0"/>
              <w:autoSpaceDN w:val="0"/>
              <w:adjustRightInd w:val="0"/>
              <w:jc w:val="center"/>
              <w:rPr>
                <w:b/>
                <w:sz w:val="20"/>
                <w:lang w:val="en-US"/>
              </w:rPr>
            </w:pPr>
            <w:r>
              <w:rPr>
                <w:b/>
                <w:sz w:val="20"/>
                <w:lang w:val="en-US"/>
              </w:rPr>
              <w:t>Significance</w:t>
            </w:r>
          </w:p>
        </w:tc>
        <w:tc>
          <w:tcPr>
            <w:tcW w:w="1591" w:type="dxa"/>
            <w:vAlign w:val="center"/>
          </w:tcPr>
          <w:p w14:paraId="144D5422">
            <w:pPr>
              <w:autoSpaceDE w:val="0"/>
              <w:autoSpaceDN w:val="0"/>
              <w:adjustRightInd w:val="0"/>
              <w:jc w:val="center"/>
              <w:rPr>
                <w:b/>
                <w:sz w:val="20"/>
                <w:lang w:val="en-US"/>
              </w:rPr>
            </w:pPr>
            <w:r>
              <w:rPr>
                <w:b/>
                <w:sz w:val="20"/>
                <w:lang w:val="en-US"/>
              </w:rPr>
              <w:t>Methods</w:t>
            </w:r>
          </w:p>
        </w:tc>
        <w:tc>
          <w:tcPr>
            <w:tcW w:w="1591" w:type="dxa"/>
            <w:vAlign w:val="center"/>
          </w:tcPr>
          <w:p w14:paraId="1C4803F4">
            <w:pPr>
              <w:autoSpaceDE w:val="0"/>
              <w:autoSpaceDN w:val="0"/>
              <w:adjustRightInd w:val="0"/>
              <w:jc w:val="center"/>
              <w:rPr>
                <w:b/>
                <w:sz w:val="20"/>
                <w:lang w:val="en-US"/>
              </w:rPr>
            </w:pPr>
            <w:r>
              <w:rPr>
                <w:b/>
                <w:sz w:val="20"/>
                <w:lang w:val="en-US"/>
              </w:rPr>
              <w:t>Clarity</w:t>
            </w:r>
          </w:p>
        </w:tc>
        <w:tc>
          <w:tcPr>
            <w:tcW w:w="1591" w:type="dxa"/>
            <w:vAlign w:val="center"/>
          </w:tcPr>
          <w:p w14:paraId="23563CB6">
            <w:pPr>
              <w:autoSpaceDE w:val="0"/>
              <w:autoSpaceDN w:val="0"/>
              <w:adjustRightInd w:val="0"/>
              <w:jc w:val="center"/>
              <w:rPr>
                <w:b/>
                <w:sz w:val="20"/>
                <w:lang w:val="en-US"/>
              </w:rPr>
            </w:pPr>
            <w:r>
              <w:rPr>
                <w:b/>
                <w:sz w:val="20"/>
                <w:lang w:val="en-US"/>
              </w:rPr>
              <w:t>Organization</w:t>
            </w:r>
          </w:p>
        </w:tc>
      </w:tr>
      <w:tr w14:paraId="0C1B2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1" w:type="dxa"/>
          </w:tcPr>
          <w:p w14:paraId="49B74B68">
            <w:pPr>
              <w:autoSpaceDE w:val="0"/>
              <w:autoSpaceDN w:val="0"/>
              <w:adjustRightInd w:val="0"/>
              <w:rPr>
                <w:b/>
                <w:sz w:val="20"/>
              </w:rPr>
            </w:pPr>
            <w:r>
              <w:rPr>
                <w:b/>
                <w:sz w:val="20"/>
              </w:rPr>
              <w:t>Superior</w:t>
            </w:r>
          </w:p>
        </w:tc>
        <w:tc>
          <w:tcPr>
            <w:tcW w:w="1591" w:type="dxa"/>
            <w:vAlign w:val="center"/>
          </w:tcPr>
          <w:p w14:paraId="5750C68D">
            <w:pPr>
              <w:autoSpaceDE w:val="0"/>
              <w:autoSpaceDN w:val="0"/>
              <w:adjustRightInd w:val="0"/>
              <w:jc w:val="center"/>
              <w:rPr>
                <w:b/>
                <w:sz w:val="20"/>
              </w:rPr>
            </w:pPr>
            <w:r>
              <w:rPr>
                <w:b/>
                <w:sz w:val="20"/>
              </w:rPr>
              <w:t xml:space="preserve">[  </w:t>
            </w:r>
            <w:r>
              <w:rPr>
                <w:b/>
                <w:sz w:val="20"/>
                <w:lang w:val="en-US"/>
              </w:rPr>
              <w:t xml:space="preserve"> </w:t>
            </w:r>
            <w:r>
              <w:rPr>
                <w:b/>
                <w:sz w:val="20"/>
              </w:rPr>
              <w:t>]</w:t>
            </w:r>
          </w:p>
        </w:tc>
        <w:tc>
          <w:tcPr>
            <w:tcW w:w="1591" w:type="dxa"/>
            <w:vAlign w:val="center"/>
          </w:tcPr>
          <w:p w14:paraId="51D80BDC">
            <w:pPr>
              <w:autoSpaceDE w:val="0"/>
              <w:autoSpaceDN w:val="0"/>
              <w:adjustRightInd w:val="0"/>
              <w:jc w:val="center"/>
              <w:rPr>
                <w:b/>
                <w:sz w:val="20"/>
              </w:rPr>
            </w:pPr>
            <w:r>
              <w:rPr>
                <w:b/>
                <w:sz w:val="20"/>
              </w:rPr>
              <w:t xml:space="preserve">[  </w:t>
            </w:r>
            <w:r>
              <w:rPr>
                <w:b/>
                <w:sz w:val="20"/>
                <w:lang w:val="en-US"/>
              </w:rPr>
              <w:t xml:space="preserve"> </w:t>
            </w:r>
            <w:r>
              <w:rPr>
                <w:b/>
                <w:sz w:val="20"/>
              </w:rPr>
              <w:t>]</w:t>
            </w:r>
          </w:p>
        </w:tc>
        <w:tc>
          <w:tcPr>
            <w:tcW w:w="1591" w:type="dxa"/>
            <w:vAlign w:val="center"/>
          </w:tcPr>
          <w:p w14:paraId="238700DE">
            <w:pPr>
              <w:autoSpaceDE w:val="0"/>
              <w:autoSpaceDN w:val="0"/>
              <w:adjustRightInd w:val="0"/>
              <w:jc w:val="center"/>
              <w:rPr>
                <w:b/>
                <w:sz w:val="20"/>
              </w:rPr>
            </w:pPr>
            <w:r>
              <w:rPr>
                <w:b/>
                <w:sz w:val="20"/>
              </w:rPr>
              <w:t xml:space="preserve">[  </w:t>
            </w:r>
            <w:r>
              <w:rPr>
                <w:b/>
                <w:sz w:val="20"/>
                <w:lang w:val="en-US"/>
              </w:rPr>
              <w:t xml:space="preserve"> </w:t>
            </w:r>
            <w:r>
              <w:rPr>
                <w:b/>
                <w:sz w:val="20"/>
              </w:rPr>
              <w:t>]</w:t>
            </w:r>
          </w:p>
        </w:tc>
        <w:tc>
          <w:tcPr>
            <w:tcW w:w="1591" w:type="dxa"/>
            <w:vAlign w:val="center"/>
          </w:tcPr>
          <w:p w14:paraId="5F23F5DF">
            <w:pPr>
              <w:autoSpaceDE w:val="0"/>
              <w:autoSpaceDN w:val="0"/>
              <w:adjustRightInd w:val="0"/>
              <w:jc w:val="center"/>
              <w:rPr>
                <w:b/>
                <w:sz w:val="20"/>
              </w:rPr>
            </w:pPr>
            <w:r>
              <w:rPr>
                <w:b/>
                <w:sz w:val="20"/>
              </w:rPr>
              <w:t xml:space="preserve">[  </w:t>
            </w:r>
            <w:r>
              <w:rPr>
                <w:b/>
                <w:sz w:val="20"/>
                <w:lang w:val="en-US"/>
              </w:rPr>
              <w:t xml:space="preserve"> </w:t>
            </w:r>
            <w:r>
              <w:rPr>
                <w:b/>
                <w:sz w:val="20"/>
              </w:rPr>
              <w:t>]</w:t>
            </w:r>
          </w:p>
        </w:tc>
        <w:tc>
          <w:tcPr>
            <w:tcW w:w="1591" w:type="dxa"/>
            <w:vAlign w:val="center"/>
          </w:tcPr>
          <w:p w14:paraId="3849BE62">
            <w:pPr>
              <w:autoSpaceDE w:val="0"/>
              <w:autoSpaceDN w:val="0"/>
              <w:adjustRightInd w:val="0"/>
              <w:jc w:val="center"/>
              <w:rPr>
                <w:b/>
                <w:sz w:val="20"/>
              </w:rPr>
            </w:pPr>
            <w:r>
              <w:rPr>
                <w:b/>
                <w:sz w:val="20"/>
              </w:rPr>
              <w:t xml:space="preserve">[ </w:t>
            </w:r>
            <w:r>
              <w:rPr>
                <w:b/>
                <w:sz w:val="20"/>
                <w:lang w:val="en-US"/>
              </w:rPr>
              <w:t xml:space="preserve"> </w:t>
            </w:r>
            <w:r>
              <w:rPr>
                <w:b/>
                <w:sz w:val="20"/>
              </w:rPr>
              <w:t xml:space="preserve"> ]</w:t>
            </w:r>
          </w:p>
        </w:tc>
      </w:tr>
      <w:tr w14:paraId="09557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1" w:type="dxa"/>
          </w:tcPr>
          <w:p w14:paraId="588E6F06">
            <w:pPr>
              <w:autoSpaceDE w:val="0"/>
              <w:autoSpaceDN w:val="0"/>
              <w:adjustRightInd w:val="0"/>
              <w:rPr>
                <w:b/>
                <w:sz w:val="20"/>
              </w:rPr>
            </w:pPr>
            <w:r>
              <w:rPr>
                <w:b/>
                <w:sz w:val="20"/>
              </w:rPr>
              <w:t>Good</w:t>
            </w:r>
          </w:p>
        </w:tc>
        <w:tc>
          <w:tcPr>
            <w:tcW w:w="1591" w:type="dxa"/>
            <w:vAlign w:val="center"/>
          </w:tcPr>
          <w:p w14:paraId="1AE59AA8">
            <w:pPr>
              <w:autoSpaceDE w:val="0"/>
              <w:autoSpaceDN w:val="0"/>
              <w:adjustRightInd w:val="0"/>
              <w:jc w:val="center"/>
              <w:rPr>
                <w:b/>
                <w:sz w:val="20"/>
              </w:rPr>
            </w:pPr>
            <w:r>
              <w:rPr>
                <w:b/>
                <w:sz w:val="20"/>
              </w:rPr>
              <w:t>[</w:t>
            </w:r>
            <w:r>
              <w:rPr>
                <w:b/>
                <w:sz w:val="20"/>
                <w:lang w:val="en-US"/>
              </w:rPr>
              <w:t xml:space="preserve"> x </w:t>
            </w:r>
            <w:r>
              <w:rPr>
                <w:b/>
                <w:sz w:val="20"/>
              </w:rPr>
              <w:t>]</w:t>
            </w:r>
          </w:p>
        </w:tc>
        <w:tc>
          <w:tcPr>
            <w:tcW w:w="1591" w:type="dxa"/>
            <w:vAlign w:val="center"/>
          </w:tcPr>
          <w:p w14:paraId="4DACCBA1">
            <w:pPr>
              <w:autoSpaceDE w:val="0"/>
              <w:autoSpaceDN w:val="0"/>
              <w:adjustRightInd w:val="0"/>
              <w:jc w:val="center"/>
              <w:rPr>
                <w:b/>
                <w:sz w:val="20"/>
              </w:rPr>
            </w:pPr>
            <w:r>
              <w:rPr>
                <w:b/>
                <w:sz w:val="20"/>
              </w:rPr>
              <w:t xml:space="preserve">[ </w:t>
            </w:r>
            <w:r>
              <w:rPr>
                <w:b/>
                <w:sz w:val="20"/>
                <w:lang w:val="en-US"/>
              </w:rPr>
              <w:t xml:space="preserve">x </w:t>
            </w:r>
            <w:r>
              <w:rPr>
                <w:b/>
                <w:sz w:val="20"/>
              </w:rPr>
              <w:t>]</w:t>
            </w:r>
          </w:p>
        </w:tc>
        <w:tc>
          <w:tcPr>
            <w:tcW w:w="1591" w:type="dxa"/>
            <w:vAlign w:val="center"/>
          </w:tcPr>
          <w:p w14:paraId="26E980D3">
            <w:pPr>
              <w:autoSpaceDE w:val="0"/>
              <w:autoSpaceDN w:val="0"/>
              <w:adjustRightInd w:val="0"/>
              <w:jc w:val="center"/>
              <w:rPr>
                <w:b/>
                <w:sz w:val="20"/>
              </w:rPr>
            </w:pPr>
            <w:r>
              <w:rPr>
                <w:b/>
                <w:sz w:val="20"/>
              </w:rPr>
              <w:t>[</w:t>
            </w:r>
            <w:r>
              <w:rPr>
                <w:b/>
                <w:sz w:val="20"/>
                <w:lang w:val="en-US"/>
              </w:rPr>
              <w:t xml:space="preserve"> x </w:t>
            </w:r>
            <w:r>
              <w:rPr>
                <w:b/>
                <w:sz w:val="20"/>
              </w:rPr>
              <w:t>]</w:t>
            </w:r>
          </w:p>
        </w:tc>
        <w:tc>
          <w:tcPr>
            <w:tcW w:w="1591" w:type="dxa"/>
            <w:vAlign w:val="center"/>
          </w:tcPr>
          <w:p w14:paraId="1A07F9DC">
            <w:pPr>
              <w:autoSpaceDE w:val="0"/>
              <w:autoSpaceDN w:val="0"/>
              <w:adjustRightInd w:val="0"/>
              <w:jc w:val="center"/>
              <w:rPr>
                <w:b/>
                <w:sz w:val="20"/>
              </w:rPr>
            </w:pPr>
            <w:r>
              <w:rPr>
                <w:b/>
                <w:sz w:val="20"/>
              </w:rPr>
              <w:t>[</w:t>
            </w:r>
            <w:r>
              <w:rPr>
                <w:b/>
                <w:sz w:val="20"/>
                <w:lang w:val="en-US"/>
              </w:rPr>
              <w:t xml:space="preserve">   </w:t>
            </w:r>
            <w:r>
              <w:rPr>
                <w:b/>
                <w:sz w:val="20"/>
              </w:rPr>
              <w:t>]</w:t>
            </w:r>
          </w:p>
        </w:tc>
        <w:tc>
          <w:tcPr>
            <w:tcW w:w="1591" w:type="dxa"/>
            <w:vAlign w:val="center"/>
          </w:tcPr>
          <w:p w14:paraId="16FB1397">
            <w:pPr>
              <w:autoSpaceDE w:val="0"/>
              <w:autoSpaceDN w:val="0"/>
              <w:adjustRightInd w:val="0"/>
              <w:jc w:val="center"/>
              <w:rPr>
                <w:b/>
                <w:sz w:val="20"/>
              </w:rPr>
            </w:pPr>
            <w:r>
              <w:rPr>
                <w:b/>
                <w:sz w:val="20"/>
              </w:rPr>
              <w:t>[</w:t>
            </w:r>
            <w:r>
              <w:rPr>
                <w:b/>
                <w:sz w:val="20"/>
                <w:lang w:val="en-US"/>
              </w:rPr>
              <w:t xml:space="preserve"> x </w:t>
            </w:r>
            <w:r>
              <w:rPr>
                <w:b/>
                <w:sz w:val="20"/>
              </w:rPr>
              <w:t>]</w:t>
            </w:r>
          </w:p>
        </w:tc>
      </w:tr>
      <w:tr w14:paraId="1F9CF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1" w:type="dxa"/>
          </w:tcPr>
          <w:p w14:paraId="792DD718">
            <w:pPr>
              <w:autoSpaceDE w:val="0"/>
              <w:autoSpaceDN w:val="0"/>
              <w:adjustRightInd w:val="0"/>
              <w:rPr>
                <w:b/>
                <w:sz w:val="20"/>
              </w:rPr>
            </w:pPr>
            <w:r>
              <w:rPr>
                <w:b/>
                <w:sz w:val="20"/>
              </w:rPr>
              <w:t>Fair</w:t>
            </w:r>
          </w:p>
        </w:tc>
        <w:tc>
          <w:tcPr>
            <w:tcW w:w="1591" w:type="dxa"/>
            <w:vAlign w:val="center"/>
          </w:tcPr>
          <w:p w14:paraId="6D2DA505">
            <w:pPr>
              <w:autoSpaceDE w:val="0"/>
              <w:autoSpaceDN w:val="0"/>
              <w:adjustRightInd w:val="0"/>
              <w:jc w:val="center"/>
              <w:rPr>
                <w:b/>
                <w:sz w:val="20"/>
              </w:rPr>
            </w:pPr>
            <w:r>
              <w:rPr>
                <w:b/>
                <w:sz w:val="20"/>
              </w:rPr>
              <w:t xml:space="preserve">[ </w:t>
            </w:r>
            <w:r>
              <w:rPr>
                <w:b/>
                <w:sz w:val="20"/>
                <w:lang w:val="en-US"/>
              </w:rPr>
              <w:t xml:space="preserve"> </w:t>
            </w:r>
            <w:r>
              <w:rPr>
                <w:b/>
                <w:sz w:val="20"/>
              </w:rPr>
              <w:t xml:space="preserve"> ]</w:t>
            </w:r>
          </w:p>
        </w:tc>
        <w:tc>
          <w:tcPr>
            <w:tcW w:w="1591" w:type="dxa"/>
            <w:vAlign w:val="center"/>
          </w:tcPr>
          <w:p w14:paraId="3339BE2B">
            <w:pPr>
              <w:autoSpaceDE w:val="0"/>
              <w:autoSpaceDN w:val="0"/>
              <w:adjustRightInd w:val="0"/>
              <w:jc w:val="center"/>
              <w:rPr>
                <w:b/>
                <w:sz w:val="20"/>
              </w:rPr>
            </w:pPr>
            <w:r>
              <w:rPr>
                <w:b/>
                <w:sz w:val="20"/>
              </w:rPr>
              <w:t>[</w:t>
            </w:r>
            <w:r>
              <w:rPr>
                <w:b/>
                <w:sz w:val="20"/>
                <w:lang w:val="en-US"/>
              </w:rPr>
              <w:t xml:space="preserve">   </w:t>
            </w:r>
            <w:r>
              <w:rPr>
                <w:b/>
                <w:sz w:val="20"/>
              </w:rPr>
              <w:t>]</w:t>
            </w:r>
          </w:p>
        </w:tc>
        <w:tc>
          <w:tcPr>
            <w:tcW w:w="1591" w:type="dxa"/>
            <w:vAlign w:val="center"/>
          </w:tcPr>
          <w:p w14:paraId="2CFCBC9B">
            <w:pPr>
              <w:autoSpaceDE w:val="0"/>
              <w:autoSpaceDN w:val="0"/>
              <w:adjustRightInd w:val="0"/>
              <w:jc w:val="center"/>
              <w:rPr>
                <w:b/>
                <w:sz w:val="20"/>
              </w:rPr>
            </w:pPr>
            <w:r>
              <w:rPr>
                <w:b/>
                <w:sz w:val="20"/>
              </w:rPr>
              <w:t xml:space="preserve">[  </w:t>
            </w:r>
            <w:r>
              <w:rPr>
                <w:b/>
                <w:sz w:val="20"/>
                <w:lang w:val="en-US"/>
              </w:rPr>
              <w:t xml:space="preserve"> </w:t>
            </w:r>
            <w:r>
              <w:rPr>
                <w:b/>
                <w:sz w:val="20"/>
              </w:rPr>
              <w:t>]</w:t>
            </w:r>
          </w:p>
        </w:tc>
        <w:tc>
          <w:tcPr>
            <w:tcW w:w="1591" w:type="dxa"/>
            <w:vAlign w:val="center"/>
          </w:tcPr>
          <w:p w14:paraId="4BD666D1">
            <w:pPr>
              <w:autoSpaceDE w:val="0"/>
              <w:autoSpaceDN w:val="0"/>
              <w:adjustRightInd w:val="0"/>
              <w:jc w:val="center"/>
              <w:rPr>
                <w:b/>
                <w:sz w:val="20"/>
              </w:rPr>
            </w:pPr>
            <w:r>
              <w:rPr>
                <w:b/>
                <w:sz w:val="20"/>
              </w:rPr>
              <w:t>[</w:t>
            </w:r>
            <w:r>
              <w:rPr>
                <w:b/>
                <w:sz w:val="20"/>
                <w:lang w:val="en-US"/>
              </w:rPr>
              <w:t xml:space="preserve"> x</w:t>
            </w:r>
            <w:r>
              <w:rPr>
                <w:b/>
                <w:sz w:val="20"/>
              </w:rPr>
              <w:t xml:space="preserve"> ]</w:t>
            </w:r>
          </w:p>
        </w:tc>
        <w:tc>
          <w:tcPr>
            <w:tcW w:w="1591" w:type="dxa"/>
            <w:vAlign w:val="center"/>
          </w:tcPr>
          <w:p w14:paraId="4C72DE62">
            <w:pPr>
              <w:autoSpaceDE w:val="0"/>
              <w:autoSpaceDN w:val="0"/>
              <w:adjustRightInd w:val="0"/>
              <w:jc w:val="center"/>
              <w:rPr>
                <w:b/>
                <w:sz w:val="20"/>
              </w:rPr>
            </w:pPr>
            <w:r>
              <w:rPr>
                <w:b/>
                <w:sz w:val="20"/>
              </w:rPr>
              <w:t xml:space="preserve">[ </w:t>
            </w:r>
            <w:r>
              <w:rPr>
                <w:b/>
                <w:sz w:val="20"/>
                <w:lang w:val="en-US"/>
              </w:rPr>
              <w:t xml:space="preserve"> </w:t>
            </w:r>
            <w:r>
              <w:rPr>
                <w:b/>
                <w:sz w:val="20"/>
              </w:rPr>
              <w:t xml:space="preserve"> ]</w:t>
            </w:r>
          </w:p>
        </w:tc>
      </w:tr>
      <w:tr w14:paraId="0C7BE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1" w:type="dxa"/>
          </w:tcPr>
          <w:p w14:paraId="280BA9E0">
            <w:pPr>
              <w:autoSpaceDE w:val="0"/>
              <w:autoSpaceDN w:val="0"/>
              <w:adjustRightInd w:val="0"/>
              <w:rPr>
                <w:b/>
                <w:sz w:val="20"/>
              </w:rPr>
            </w:pPr>
            <w:r>
              <w:rPr>
                <w:b/>
                <w:sz w:val="20"/>
              </w:rPr>
              <w:t>Poor</w:t>
            </w:r>
          </w:p>
        </w:tc>
        <w:tc>
          <w:tcPr>
            <w:tcW w:w="1591" w:type="dxa"/>
            <w:vAlign w:val="center"/>
          </w:tcPr>
          <w:p w14:paraId="17204E63">
            <w:pPr>
              <w:autoSpaceDE w:val="0"/>
              <w:autoSpaceDN w:val="0"/>
              <w:adjustRightInd w:val="0"/>
              <w:jc w:val="center"/>
              <w:rPr>
                <w:b/>
                <w:sz w:val="20"/>
              </w:rPr>
            </w:pPr>
            <w:r>
              <w:rPr>
                <w:b/>
                <w:sz w:val="20"/>
              </w:rPr>
              <w:t xml:space="preserve">[  </w:t>
            </w:r>
            <w:r>
              <w:rPr>
                <w:b/>
                <w:sz w:val="20"/>
                <w:lang w:val="en-US"/>
              </w:rPr>
              <w:t xml:space="preserve"> </w:t>
            </w:r>
            <w:r>
              <w:rPr>
                <w:b/>
                <w:sz w:val="20"/>
              </w:rPr>
              <w:t>]</w:t>
            </w:r>
          </w:p>
        </w:tc>
        <w:tc>
          <w:tcPr>
            <w:tcW w:w="1591" w:type="dxa"/>
            <w:vAlign w:val="center"/>
          </w:tcPr>
          <w:p w14:paraId="41EBE992">
            <w:pPr>
              <w:autoSpaceDE w:val="0"/>
              <w:autoSpaceDN w:val="0"/>
              <w:adjustRightInd w:val="0"/>
              <w:jc w:val="center"/>
              <w:rPr>
                <w:b/>
                <w:sz w:val="20"/>
              </w:rPr>
            </w:pPr>
            <w:r>
              <w:rPr>
                <w:b/>
                <w:sz w:val="20"/>
              </w:rPr>
              <w:t xml:space="preserve">[ </w:t>
            </w:r>
            <w:r>
              <w:rPr>
                <w:b/>
                <w:sz w:val="20"/>
                <w:lang w:val="en-US"/>
              </w:rPr>
              <w:t xml:space="preserve"> </w:t>
            </w:r>
            <w:r>
              <w:rPr>
                <w:b/>
                <w:sz w:val="20"/>
              </w:rPr>
              <w:t xml:space="preserve"> ]</w:t>
            </w:r>
          </w:p>
        </w:tc>
        <w:tc>
          <w:tcPr>
            <w:tcW w:w="1591" w:type="dxa"/>
            <w:vAlign w:val="center"/>
          </w:tcPr>
          <w:p w14:paraId="3D32DCC8">
            <w:pPr>
              <w:autoSpaceDE w:val="0"/>
              <w:autoSpaceDN w:val="0"/>
              <w:adjustRightInd w:val="0"/>
              <w:jc w:val="center"/>
              <w:rPr>
                <w:b/>
                <w:sz w:val="20"/>
              </w:rPr>
            </w:pPr>
            <w:r>
              <w:rPr>
                <w:b/>
                <w:sz w:val="20"/>
              </w:rPr>
              <w:t xml:space="preserve">[ </w:t>
            </w:r>
            <w:r>
              <w:rPr>
                <w:b/>
                <w:sz w:val="20"/>
                <w:lang w:val="en-US"/>
              </w:rPr>
              <w:t xml:space="preserve"> </w:t>
            </w:r>
            <w:r>
              <w:rPr>
                <w:b/>
                <w:sz w:val="20"/>
              </w:rPr>
              <w:t xml:space="preserve"> ]</w:t>
            </w:r>
          </w:p>
        </w:tc>
        <w:tc>
          <w:tcPr>
            <w:tcW w:w="1591" w:type="dxa"/>
            <w:vAlign w:val="center"/>
          </w:tcPr>
          <w:p w14:paraId="74E86C76">
            <w:pPr>
              <w:autoSpaceDE w:val="0"/>
              <w:autoSpaceDN w:val="0"/>
              <w:adjustRightInd w:val="0"/>
              <w:jc w:val="center"/>
              <w:rPr>
                <w:b/>
                <w:sz w:val="20"/>
              </w:rPr>
            </w:pPr>
            <w:r>
              <w:rPr>
                <w:b/>
                <w:sz w:val="20"/>
              </w:rPr>
              <w:t xml:space="preserve">[ </w:t>
            </w:r>
            <w:r>
              <w:rPr>
                <w:b/>
                <w:sz w:val="20"/>
                <w:lang w:val="en-US"/>
              </w:rPr>
              <w:t xml:space="preserve">  </w:t>
            </w:r>
            <w:r>
              <w:rPr>
                <w:b/>
                <w:sz w:val="20"/>
              </w:rPr>
              <w:t>]</w:t>
            </w:r>
          </w:p>
        </w:tc>
        <w:tc>
          <w:tcPr>
            <w:tcW w:w="1591" w:type="dxa"/>
            <w:vAlign w:val="center"/>
          </w:tcPr>
          <w:p w14:paraId="0C074617">
            <w:pPr>
              <w:autoSpaceDE w:val="0"/>
              <w:autoSpaceDN w:val="0"/>
              <w:adjustRightInd w:val="0"/>
              <w:jc w:val="center"/>
              <w:rPr>
                <w:b/>
                <w:sz w:val="20"/>
              </w:rPr>
            </w:pPr>
            <w:r>
              <w:rPr>
                <w:b/>
                <w:sz w:val="20"/>
              </w:rPr>
              <w:t xml:space="preserve">[  </w:t>
            </w:r>
            <w:r>
              <w:rPr>
                <w:b/>
                <w:sz w:val="20"/>
                <w:lang w:val="en-US"/>
              </w:rPr>
              <w:t xml:space="preserve"> </w:t>
            </w:r>
            <w:r>
              <w:rPr>
                <w:b/>
                <w:sz w:val="20"/>
              </w:rPr>
              <w:t>]</w:t>
            </w:r>
          </w:p>
        </w:tc>
      </w:tr>
    </w:tbl>
    <w:p w14:paraId="460B7AD8">
      <w:pPr>
        <w:autoSpaceDE w:val="0"/>
        <w:autoSpaceDN w:val="0"/>
        <w:adjustRightInd w:val="0"/>
        <w:rPr>
          <w:sz w:val="20"/>
          <w:lang w:val="en-US"/>
        </w:rPr>
      </w:pPr>
    </w:p>
    <w:p w14:paraId="40E1C9B0">
      <w:pPr>
        <w:autoSpaceDE w:val="0"/>
        <w:autoSpaceDN w:val="0"/>
        <w:adjustRightInd w:val="0"/>
        <w:rPr>
          <w:b/>
          <w:sz w:val="20"/>
          <w:lang w:val="en-US"/>
        </w:rPr>
      </w:pPr>
      <w:r>
        <w:rPr>
          <w:b/>
          <w:sz w:val="20"/>
          <w:lang w:val="en-US"/>
        </w:rPr>
        <w:t>[   ] Acceptable as is.</w:t>
      </w:r>
    </w:p>
    <w:p w14:paraId="2F9F5651">
      <w:pPr>
        <w:autoSpaceDE w:val="0"/>
        <w:autoSpaceDN w:val="0"/>
        <w:adjustRightInd w:val="0"/>
        <w:rPr>
          <w:b/>
          <w:sz w:val="20"/>
          <w:lang w:val="en-US"/>
        </w:rPr>
      </w:pPr>
      <w:r>
        <w:rPr>
          <w:b/>
          <w:sz w:val="20"/>
          <w:lang w:val="en-US"/>
        </w:rPr>
        <w:t>[ x ] After minor revision.</w:t>
      </w:r>
    </w:p>
    <w:p w14:paraId="7F926417">
      <w:pPr>
        <w:autoSpaceDE w:val="0"/>
        <w:autoSpaceDN w:val="0"/>
        <w:adjustRightInd w:val="0"/>
        <w:rPr>
          <w:b/>
          <w:sz w:val="20"/>
          <w:lang w:val="en-US"/>
        </w:rPr>
      </w:pPr>
      <w:r>
        <w:rPr>
          <w:b/>
          <w:sz w:val="20"/>
          <w:lang w:val="en-US"/>
        </w:rPr>
        <w:t>[   ] After major revision.</w:t>
      </w:r>
    </w:p>
    <w:p w14:paraId="40FC6C6F">
      <w:pPr>
        <w:autoSpaceDE w:val="0"/>
        <w:autoSpaceDN w:val="0"/>
        <w:adjustRightInd w:val="0"/>
        <w:rPr>
          <w:b/>
          <w:sz w:val="20"/>
          <w:lang w:val="en-US"/>
        </w:rPr>
      </w:pPr>
      <w:r>
        <w:rPr>
          <w:b/>
          <w:sz w:val="20"/>
          <w:lang w:val="en-US"/>
        </w:rPr>
        <w:t>[   ] Reconsider after major revision.</w:t>
      </w:r>
    </w:p>
    <w:p w14:paraId="4B5504AA">
      <w:pPr>
        <w:autoSpaceDE w:val="0"/>
        <w:autoSpaceDN w:val="0"/>
        <w:adjustRightInd w:val="0"/>
        <w:rPr>
          <w:b/>
          <w:sz w:val="20"/>
          <w:lang w:val="en-US"/>
        </w:rPr>
      </w:pPr>
      <w:r>
        <w:rPr>
          <w:b/>
          <w:sz w:val="20"/>
          <w:lang w:val="en-US"/>
        </w:rPr>
        <w:t>[   ] Reject.</w:t>
      </w:r>
    </w:p>
    <w:p w14:paraId="14668CD9">
      <w:pPr>
        <w:autoSpaceDE w:val="0"/>
        <w:autoSpaceDN w:val="0"/>
        <w:adjustRightInd w:val="0"/>
        <w:rPr>
          <w:sz w:val="20"/>
          <w:lang w:val="en-US"/>
        </w:rPr>
      </w:pPr>
      <w:r>
        <w:rPr>
          <w:sz w:val="20"/>
          <w:lang w:val="en-US"/>
        </w:rPr>
        <w:t>________________________________________________________________________________</w:t>
      </w:r>
    </w:p>
    <w:p w14:paraId="464284BE">
      <w:pPr>
        <w:autoSpaceDE w:val="0"/>
        <w:autoSpaceDN w:val="0"/>
        <w:adjustRightInd w:val="0"/>
        <w:rPr>
          <w:b/>
          <w:bCs/>
          <w:sz w:val="20"/>
          <w:lang w:val="en-US"/>
        </w:rPr>
      </w:pPr>
    </w:p>
    <w:p w14:paraId="1FD09C9A">
      <w:pPr>
        <w:autoSpaceDE w:val="0"/>
        <w:autoSpaceDN w:val="0"/>
        <w:adjustRightInd w:val="0"/>
        <w:rPr>
          <w:b/>
          <w:bCs/>
          <w:sz w:val="20"/>
          <w:lang w:val="en-US"/>
        </w:rPr>
      </w:pPr>
      <w:r>
        <w:rPr>
          <w:b/>
          <w:bCs/>
          <w:sz w:val="20"/>
          <w:lang w:val="en-US"/>
        </w:rPr>
        <w:t xml:space="preserve">COMMENTS FOR AUTHORS CONSIDERATION: </w:t>
      </w:r>
    </w:p>
    <w:p w14:paraId="4968F1E3">
      <w:pPr>
        <w:autoSpaceDE w:val="0"/>
        <w:autoSpaceDN w:val="0"/>
        <w:adjustRightInd w:val="0"/>
        <w:rPr>
          <w:b/>
          <w:bCs/>
          <w:sz w:val="20"/>
          <w:lang w:val="en-US"/>
        </w:rPr>
      </w:pPr>
    </w:p>
    <w:p w14:paraId="2F2B67AA">
      <w:pPr>
        <w:autoSpaceDE w:val="0"/>
        <w:autoSpaceDN w:val="0"/>
        <w:adjustRightInd w:val="0"/>
        <w:rPr>
          <w:bCs/>
          <w:sz w:val="22"/>
          <w:szCs w:val="22"/>
          <w:lang w:val="en-US"/>
        </w:rPr>
      </w:pPr>
      <w:r>
        <w:rPr>
          <w:bCs/>
          <w:sz w:val="22"/>
          <w:szCs w:val="22"/>
          <w:lang w:val="en-US"/>
        </w:rPr>
        <w:t>The reviewing article contains new data on the diversity of intestinal ciliates in Przewalski's horses from an artificial wild population and is worthy of publication.</w:t>
      </w:r>
    </w:p>
    <w:p w14:paraId="0F1DC31A">
      <w:pPr>
        <w:autoSpaceDE w:val="0"/>
        <w:autoSpaceDN w:val="0"/>
        <w:adjustRightInd w:val="0"/>
        <w:rPr>
          <w:bCs/>
          <w:sz w:val="22"/>
          <w:szCs w:val="22"/>
          <w:lang w:val="en-US"/>
        </w:rPr>
      </w:pPr>
    </w:p>
    <w:p w14:paraId="521705DF">
      <w:pPr>
        <w:autoSpaceDE w:val="0"/>
        <w:autoSpaceDN w:val="0"/>
        <w:adjustRightInd w:val="0"/>
        <w:rPr>
          <w:bCs/>
          <w:sz w:val="22"/>
          <w:szCs w:val="22"/>
          <w:lang w:val="en-US"/>
        </w:rPr>
      </w:pPr>
      <w:r>
        <w:rPr>
          <w:bCs/>
          <w:sz w:val="22"/>
          <w:szCs w:val="22"/>
          <w:lang w:val="en-US"/>
        </w:rPr>
        <w:t>However, the text of the article is missing some sufficient information:</w:t>
      </w:r>
    </w:p>
    <w:p w14:paraId="55902E5F">
      <w:pPr>
        <w:autoSpaceDE w:val="0"/>
        <w:autoSpaceDN w:val="0"/>
        <w:adjustRightInd w:val="0"/>
        <w:rPr>
          <w:bCs/>
          <w:sz w:val="22"/>
          <w:szCs w:val="22"/>
          <w:lang w:val="en-US"/>
        </w:rPr>
      </w:pPr>
      <w:r>
        <w:rPr>
          <w:bCs/>
          <w:sz w:val="22"/>
          <w:szCs w:val="22"/>
          <w:lang w:val="en-US"/>
        </w:rPr>
        <w:t>1. Have similar studies been conducted in other reintroduced populations of Przewalski's horses?</w:t>
      </w:r>
    </w:p>
    <w:p w14:paraId="2105E0AB">
      <w:pPr>
        <w:autoSpaceDE w:val="0"/>
        <w:autoSpaceDN w:val="0"/>
        <w:adjustRightInd w:val="0"/>
        <w:rPr>
          <w:rFonts w:hint="default"/>
          <w:bCs/>
          <w:i/>
          <w:iCs/>
          <w:sz w:val="22"/>
          <w:szCs w:val="22"/>
          <w:lang w:val="ru-RU"/>
        </w:rPr>
      </w:pPr>
    </w:p>
    <w:p w14:paraId="72F3DA01">
      <w:pPr>
        <w:autoSpaceDE w:val="0"/>
        <w:autoSpaceDN w:val="0"/>
        <w:adjustRightInd w:val="0"/>
        <w:rPr>
          <w:rFonts w:hint="default"/>
          <w:bCs/>
          <w:i/>
          <w:iCs/>
          <w:sz w:val="22"/>
          <w:szCs w:val="22"/>
          <w:lang w:val="ru-RU"/>
        </w:rPr>
      </w:pPr>
      <w:r>
        <w:rPr>
          <w:rFonts w:hint="default"/>
          <w:bCs/>
          <w:i/>
          <w:iCs/>
          <w:sz w:val="22"/>
          <w:szCs w:val="22"/>
          <w:lang w:val="ru-RU"/>
        </w:rPr>
        <w:t>Тут Вам виднее</w:t>
      </w:r>
    </w:p>
    <w:p w14:paraId="5CD25152">
      <w:pPr>
        <w:autoSpaceDE w:val="0"/>
        <w:autoSpaceDN w:val="0"/>
        <w:adjustRightInd w:val="0"/>
        <w:rPr>
          <w:bCs/>
          <w:sz w:val="22"/>
          <w:szCs w:val="22"/>
          <w:lang w:val="en-US"/>
        </w:rPr>
      </w:pPr>
    </w:p>
    <w:p w14:paraId="218C3F6D">
      <w:pPr>
        <w:autoSpaceDE w:val="0"/>
        <w:autoSpaceDN w:val="0"/>
        <w:adjustRightInd w:val="0"/>
        <w:rPr>
          <w:bCs/>
          <w:sz w:val="22"/>
          <w:szCs w:val="22"/>
          <w:lang w:val="en-US"/>
        </w:rPr>
      </w:pPr>
      <w:r>
        <w:rPr>
          <w:bCs/>
          <w:sz w:val="22"/>
          <w:szCs w:val="22"/>
          <w:lang w:val="en-US"/>
        </w:rPr>
        <w:t>2. In the Materials and Methods section lacks information on the quantitative parameter processed. Are these the abundance of ciliate species or any other data?</w:t>
      </w:r>
    </w:p>
    <w:p w14:paraId="11481F24">
      <w:pPr>
        <w:autoSpaceDE w:val="0"/>
        <w:autoSpaceDN w:val="0"/>
        <w:adjustRightInd w:val="0"/>
        <w:rPr>
          <w:bCs/>
          <w:sz w:val="22"/>
          <w:szCs w:val="22"/>
          <w:lang w:val="en-US"/>
        </w:rPr>
      </w:pPr>
    </w:p>
    <w:p w14:paraId="34665414">
      <w:pPr>
        <w:autoSpaceDE w:val="0"/>
        <w:autoSpaceDN w:val="0"/>
        <w:adjustRightInd w:val="0"/>
        <w:rPr>
          <w:rFonts w:hint="default"/>
          <w:bCs/>
          <w:i/>
          <w:iCs/>
          <w:sz w:val="22"/>
          <w:szCs w:val="22"/>
          <w:lang w:val="ru-RU"/>
        </w:rPr>
      </w:pPr>
      <w:r>
        <w:rPr>
          <w:bCs/>
          <w:i/>
          <w:iCs/>
          <w:sz w:val="22"/>
          <w:szCs w:val="22"/>
          <w:lang w:val="ru-RU"/>
        </w:rPr>
        <w:t>Здесь</w:t>
      </w:r>
      <w:r>
        <w:rPr>
          <w:rFonts w:hint="default"/>
          <w:bCs/>
          <w:i/>
          <w:iCs/>
          <w:sz w:val="22"/>
          <w:szCs w:val="22"/>
          <w:lang w:val="ru-RU"/>
        </w:rPr>
        <w:t xml:space="preserve"> надо расписать про методику количественного учета. У меня нет перед глазами конечного варианта, но в люом случае, это лучше сделать Вам.</w:t>
      </w:r>
    </w:p>
    <w:p w14:paraId="609E9389">
      <w:pPr>
        <w:autoSpaceDE w:val="0"/>
        <w:autoSpaceDN w:val="0"/>
        <w:adjustRightInd w:val="0"/>
        <w:rPr>
          <w:bCs/>
          <w:sz w:val="22"/>
          <w:szCs w:val="22"/>
          <w:lang w:val="en-US"/>
        </w:rPr>
      </w:pPr>
    </w:p>
    <w:p w14:paraId="6A51DAB5">
      <w:pPr>
        <w:autoSpaceDE w:val="0"/>
        <w:autoSpaceDN w:val="0"/>
        <w:adjustRightInd w:val="0"/>
        <w:rPr>
          <w:bCs/>
          <w:sz w:val="22"/>
          <w:szCs w:val="22"/>
          <w:lang w:val="en-US"/>
        </w:rPr>
      </w:pPr>
    </w:p>
    <w:p w14:paraId="7C281681">
      <w:pPr>
        <w:numPr>
          <w:ilvl w:val="0"/>
          <w:numId w:val="1"/>
        </w:numPr>
        <w:autoSpaceDE w:val="0"/>
        <w:autoSpaceDN w:val="0"/>
        <w:adjustRightInd w:val="0"/>
        <w:rPr>
          <w:bCs/>
          <w:sz w:val="22"/>
          <w:szCs w:val="22"/>
          <w:lang w:val="en-US"/>
        </w:rPr>
      </w:pPr>
      <w:r>
        <w:rPr>
          <w:bCs/>
          <w:sz w:val="22"/>
          <w:szCs w:val="22"/>
          <w:lang w:val="en-US"/>
        </w:rPr>
        <w:t>Were the quantitative data tested for normality (which determines their suitability for PERMANOVA)?</w:t>
      </w:r>
    </w:p>
    <w:p w14:paraId="4F202742">
      <w:pPr>
        <w:numPr>
          <w:ilvl w:val="0"/>
          <w:numId w:val="0"/>
        </w:numPr>
        <w:autoSpaceDE w:val="0"/>
        <w:autoSpaceDN w:val="0"/>
        <w:adjustRightInd w:val="0"/>
        <w:rPr>
          <w:bCs/>
          <w:sz w:val="22"/>
          <w:szCs w:val="22"/>
          <w:lang w:val="en-US"/>
        </w:rPr>
      </w:pPr>
    </w:p>
    <w:p w14:paraId="7C9152A4">
      <w:pPr>
        <w:numPr>
          <w:ilvl w:val="0"/>
          <w:numId w:val="0"/>
        </w:numPr>
        <w:autoSpaceDE w:val="0"/>
        <w:autoSpaceDN w:val="0"/>
        <w:adjustRightInd w:val="0"/>
        <w:rPr>
          <w:rFonts w:hint="default"/>
          <w:bCs/>
          <w:i/>
          <w:iCs/>
          <w:sz w:val="22"/>
          <w:szCs w:val="22"/>
          <w:lang w:val="ru-RU"/>
        </w:rPr>
      </w:pPr>
      <w:r>
        <w:rPr>
          <w:rFonts w:hint="default"/>
          <w:bCs/>
          <w:i/>
          <w:iCs/>
          <w:sz w:val="22"/>
          <w:szCs w:val="22"/>
          <w:lang w:val="ru-RU"/>
        </w:rPr>
        <w:t>We should note that we used the PWRMANOVA method, not MANOVA. The latter</w:t>
      </w:r>
      <w:r>
        <w:rPr>
          <w:rFonts w:hint="default"/>
          <w:bCs/>
          <w:i/>
          <w:iCs/>
          <w:sz w:val="22"/>
          <w:szCs w:val="22"/>
          <w:lang w:val="en-US"/>
        </w:rPr>
        <w:t xml:space="preserve"> (being a parametric test)</w:t>
      </w:r>
      <w:r>
        <w:rPr>
          <w:rFonts w:hint="default"/>
          <w:bCs/>
          <w:i/>
          <w:iCs/>
          <w:sz w:val="22"/>
          <w:szCs w:val="22"/>
          <w:lang w:val="ru-RU"/>
        </w:rPr>
        <w:t xml:space="preserve"> does indeed require normality of the original data for </w:t>
      </w:r>
      <w:r>
        <w:rPr>
          <w:rFonts w:hint="default"/>
          <w:bCs/>
          <w:i/>
          <w:iCs/>
          <w:sz w:val="22"/>
          <w:szCs w:val="22"/>
          <w:lang w:val="en-US"/>
        </w:rPr>
        <w:t>constructing</w:t>
      </w:r>
      <w:r>
        <w:rPr>
          <w:rFonts w:hint="default"/>
          <w:bCs/>
          <w:i/>
          <w:iCs/>
          <w:sz w:val="22"/>
          <w:szCs w:val="22"/>
          <w:lang w:val="ru-RU"/>
        </w:rPr>
        <w:t xml:space="preserve"> the test statistic</w:t>
      </w:r>
      <w:r>
        <w:rPr>
          <w:rFonts w:hint="default"/>
          <w:bCs/>
          <w:i/>
          <w:iCs/>
          <w:sz w:val="22"/>
          <w:szCs w:val="22"/>
          <w:lang w:val="en-US"/>
        </w:rPr>
        <w:t xml:space="preserve"> distribution</w:t>
      </w:r>
      <w:r>
        <w:rPr>
          <w:rFonts w:hint="default"/>
          <w:bCs/>
          <w:i/>
          <w:iCs/>
          <w:sz w:val="22"/>
          <w:szCs w:val="22"/>
          <w:lang w:val="ru-RU"/>
        </w:rPr>
        <w:t>. However, the distance‑based method proposed by M. J. Anderson</w:t>
      </w:r>
      <w:r>
        <w:rPr>
          <w:rFonts w:hint="default"/>
          <w:bCs/>
          <w:i/>
          <w:iCs/>
          <w:sz w:val="22"/>
          <w:szCs w:val="22"/>
          <w:lang w:val="en-US"/>
        </w:rPr>
        <w:t xml:space="preserve"> (2014)</w:t>
      </w:r>
      <w:r>
        <w:rPr>
          <w:rFonts w:hint="default"/>
          <w:bCs/>
          <w:i/>
          <w:iCs/>
          <w:sz w:val="22"/>
          <w:szCs w:val="22"/>
          <w:lang w:val="ru-RU"/>
        </w:rPr>
        <w:t>, PERMANOVA, constructs a reference distribution of the test statistic (pseudo F‑statistic) based on permutations of the original data. This method does not require assumptions related to a normal (or any other) distribution.</w:t>
      </w:r>
    </w:p>
    <w:p w14:paraId="731A5E5D">
      <w:pPr>
        <w:numPr>
          <w:ilvl w:val="0"/>
          <w:numId w:val="0"/>
        </w:numPr>
        <w:autoSpaceDE w:val="0"/>
        <w:autoSpaceDN w:val="0"/>
        <w:adjustRightInd w:val="0"/>
        <w:rPr>
          <w:rFonts w:hint="default"/>
          <w:bCs/>
          <w:i/>
          <w:iCs/>
          <w:sz w:val="22"/>
          <w:szCs w:val="22"/>
          <w:lang w:val="ru-RU"/>
        </w:rPr>
      </w:pPr>
    </w:p>
    <w:p w14:paraId="12D1B091">
      <w:pPr>
        <w:numPr>
          <w:ilvl w:val="0"/>
          <w:numId w:val="0"/>
        </w:numPr>
        <w:autoSpaceDE w:val="0"/>
        <w:autoSpaceDN w:val="0"/>
        <w:adjustRightInd w:val="0"/>
        <w:rPr>
          <w:rFonts w:hint="default"/>
          <w:bCs/>
          <w:i/>
          <w:iCs/>
          <w:sz w:val="22"/>
          <w:szCs w:val="22"/>
          <w:lang w:val="en-US"/>
        </w:rPr>
      </w:pPr>
      <w:r>
        <w:rPr>
          <w:rFonts w:hint="default"/>
          <w:bCs/>
          <w:i/>
          <w:iCs/>
          <w:sz w:val="22"/>
          <w:szCs w:val="22"/>
          <w:lang w:val="en-US"/>
        </w:rPr>
        <w:t>Reference</w:t>
      </w:r>
    </w:p>
    <w:p w14:paraId="5330BBE0">
      <w:pPr>
        <w:numPr>
          <w:ilvl w:val="0"/>
          <w:numId w:val="0"/>
        </w:numPr>
        <w:autoSpaceDE w:val="0"/>
        <w:autoSpaceDN w:val="0"/>
        <w:adjustRightInd w:val="0"/>
        <w:rPr>
          <w:rFonts w:hint="default"/>
          <w:bCs/>
          <w:i/>
          <w:iCs/>
          <w:sz w:val="22"/>
          <w:szCs w:val="22"/>
          <w:lang w:val="ru-RU"/>
        </w:rPr>
      </w:pPr>
      <w:r>
        <w:rPr>
          <w:rFonts w:hint="default"/>
          <w:bCs/>
          <w:i/>
          <w:iCs/>
          <w:sz w:val="22"/>
          <w:szCs w:val="22"/>
          <w:lang w:val="ru-RU"/>
        </w:rPr>
        <w:t>Anderson, M. J. (2014). Permutational multivariate analysis of variance (PERMANOVA). Wiley statsref: statistics reference online, 1-15.</w:t>
      </w:r>
    </w:p>
    <w:p w14:paraId="7E289976">
      <w:pPr>
        <w:numPr>
          <w:ilvl w:val="0"/>
          <w:numId w:val="0"/>
        </w:numPr>
        <w:autoSpaceDE w:val="0"/>
        <w:autoSpaceDN w:val="0"/>
        <w:adjustRightInd w:val="0"/>
        <w:rPr>
          <w:rFonts w:hint="default"/>
          <w:bCs/>
          <w:sz w:val="22"/>
          <w:szCs w:val="22"/>
          <w:lang w:val="en-US"/>
        </w:rPr>
      </w:pPr>
    </w:p>
    <w:p w14:paraId="535E61C4">
      <w:pPr>
        <w:numPr>
          <w:ilvl w:val="0"/>
          <w:numId w:val="0"/>
        </w:numPr>
        <w:autoSpaceDE w:val="0"/>
        <w:autoSpaceDN w:val="0"/>
        <w:adjustRightInd w:val="0"/>
        <w:rPr>
          <w:rFonts w:hint="default"/>
          <w:bCs/>
          <w:sz w:val="22"/>
          <w:szCs w:val="22"/>
          <w:lang w:val="ru-RU"/>
        </w:rPr>
      </w:pPr>
    </w:p>
    <w:p w14:paraId="65398A9D">
      <w:pPr>
        <w:numPr>
          <w:ilvl w:val="0"/>
          <w:numId w:val="0"/>
        </w:numPr>
        <w:autoSpaceDE w:val="0"/>
        <w:autoSpaceDN w:val="0"/>
        <w:adjustRightInd w:val="0"/>
        <w:rPr>
          <w:rFonts w:hint="default"/>
          <w:bCs/>
          <w:sz w:val="22"/>
          <w:szCs w:val="22"/>
          <w:lang w:val="en-US"/>
        </w:rPr>
      </w:pPr>
    </w:p>
    <w:p w14:paraId="0674B25A">
      <w:pPr>
        <w:numPr>
          <w:ilvl w:val="0"/>
          <w:numId w:val="1"/>
        </w:numPr>
        <w:autoSpaceDE w:val="0"/>
        <w:autoSpaceDN w:val="0"/>
        <w:adjustRightInd w:val="0"/>
        <w:ind w:left="0" w:leftChars="0" w:firstLine="0" w:firstLineChars="0"/>
        <w:rPr>
          <w:bCs/>
          <w:sz w:val="22"/>
          <w:szCs w:val="22"/>
          <w:lang w:val="en-US"/>
        </w:rPr>
      </w:pPr>
      <w:r>
        <w:rPr>
          <w:bCs/>
          <w:sz w:val="22"/>
          <w:szCs w:val="22"/>
          <w:lang w:val="en-US"/>
        </w:rPr>
        <w:t>Is it possible to exclude contacts between Przewalski's horses and domestic horses, for example, when the latter graze?</w:t>
      </w:r>
    </w:p>
    <w:p w14:paraId="726CCD86">
      <w:pPr>
        <w:numPr>
          <w:ilvl w:val="0"/>
          <w:numId w:val="0"/>
        </w:numPr>
        <w:autoSpaceDE w:val="0"/>
        <w:autoSpaceDN w:val="0"/>
        <w:adjustRightInd w:val="0"/>
        <w:rPr>
          <w:bCs/>
          <w:sz w:val="22"/>
          <w:szCs w:val="22"/>
          <w:lang w:val="en-US"/>
        </w:rPr>
      </w:pPr>
    </w:p>
    <w:p w14:paraId="6E7BA514">
      <w:pPr>
        <w:numPr>
          <w:ilvl w:val="0"/>
          <w:numId w:val="0"/>
        </w:numPr>
        <w:autoSpaceDE w:val="0"/>
        <w:autoSpaceDN w:val="0"/>
        <w:adjustRightInd w:val="0"/>
        <w:rPr>
          <w:rFonts w:hint="default"/>
          <w:bCs/>
          <w:i/>
          <w:iCs/>
          <w:sz w:val="22"/>
          <w:szCs w:val="22"/>
          <w:lang w:val="ru-RU"/>
        </w:rPr>
      </w:pPr>
      <w:r>
        <w:rPr>
          <w:rFonts w:hint="default"/>
          <w:bCs/>
          <w:i/>
          <w:iCs/>
          <w:sz w:val="22"/>
          <w:szCs w:val="22"/>
          <w:lang w:val="ru-RU"/>
        </w:rPr>
        <w:t>Здесь Вам виднее.</w:t>
      </w:r>
    </w:p>
    <w:p w14:paraId="058CCA4C">
      <w:pPr>
        <w:numPr>
          <w:ilvl w:val="0"/>
          <w:numId w:val="0"/>
        </w:numPr>
        <w:autoSpaceDE w:val="0"/>
        <w:autoSpaceDN w:val="0"/>
        <w:adjustRightInd w:val="0"/>
        <w:rPr>
          <w:rFonts w:hint="default"/>
          <w:bCs/>
          <w:sz w:val="22"/>
          <w:szCs w:val="22"/>
          <w:lang w:val="ru-RU"/>
        </w:rPr>
      </w:pPr>
    </w:p>
    <w:p w14:paraId="4FA9731B">
      <w:pPr>
        <w:numPr>
          <w:ilvl w:val="0"/>
          <w:numId w:val="1"/>
        </w:numPr>
        <w:autoSpaceDE w:val="0"/>
        <w:autoSpaceDN w:val="0"/>
        <w:adjustRightInd w:val="0"/>
        <w:ind w:left="0" w:leftChars="0" w:firstLine="0" w:firstLineChars="0"/>
        <w:rPr>
          <w:bCs/>
          <w:sz w:val="22"/>
          <w:szCs w:val="22"/>
          <w:lang w:val="en-US"/>
        </w:rPr>
      </w:pPr>
      <w:r>
        <w:rPr>
          <w:bCs/>
          <w:sz w:val="22"/>
          <w:szCs w:val="22"/>
          <w:lang w:val="en-US"/>
        </w:rPr>
        <w:t>In addition to the previous question: are the "Origin" and "Type" factors independent? Was any test for non-additivity performed, for example, Tukey's post-hoc?</w:t>
      </w:r>
    </w:p>
    <w:p w14:paraId="20F95BAD">
      <w:pPr>
        <w:numPr>
          <w:ilvl w:val="0"/>
          <w:numId w:val="0"/>
        </w:numPr>
        <w:autoSpaceDE w:val="0"/>
        <w:autoSpaceDN w:val="0"/>
        <w:adjustRightInd w:val="0"/>
        <w:rPr>
          <w:bCs/>
          <w:sz w:val="22"/>
          <w:szCs w:val="22"/>
          <w:lang w:val="en-US"/>
        </w:rPr>
      </w:pPr>
    </w:p>
    <w:p w14:paraId="02F02BEC">
      <w:pPr>
        <w:numPr>
          <w:ilvl w:val="0"/>
          <w:numId w:val="0"/>
        </w:numPr>
        <w:autoSpaceDE w:val="0"/>
        <w:autoSpaceDN w:val="0"/>
        <w:adjustRightInd w:val="0"/>
        <w:rPr>
          <w:rFonts w:hint="default"/>
          <w:bCs/>
          <w:sz w:val="22"/>
          <w:szCs w:val="22"/>
          <w:u w:val="single"/>
          <w:lang w:val="ru-RU"/>
        </w:rPr>
      </w:pPr>
      <w:r>
        <w:rPr>
          <w:bCs/>
          <w:sz w:val="22"/>
          <w:szCs w:val="22"/>
          <w:u w:val="single"/>
          <w:lang w:val="ru-RU"/>
        </w:rPr>
        <w:t>Тут</w:t>
      </w:r>
      <w:r>
        <w:rPr>
          <w:rFonts w:hint="default"/>
          <w:bCs/>
          <w:sz w:val="22"/>
          <w:szCs w:val="22"/>
          <w:u w:val="single"/>
          <w:lang w:val="ru-RU"/>
        </w:rPr>
        <w:t xml:space="preserve"> какая-то мешанина. Независимость факторов это одно, а </w:t>
      </w:r>
      <w:r>
        <w:rPr>
          <w:bCs/>
          <w:sz w:val="22"/>
          <w:szCs w:val="22"/>
          <w:u w:val="single"/>
          <w:lang w:val="en-US"/>
        </w:rPr>
        <w:t>Tukey's post-hoc</w:t>
      </w:r>
      <w:r>
        <w:rPr>
          <w:rFonts w:hint="default"/>
          <w:bCs/>
          <w:sz w:val="22"/>
          <w:szCs w:val="22"/>
          <w:u w:val="single"/>
          <w:lang w:val="ru-RU"/>
        </w:rPr>
        <w:t xml:space="preserve"> - это совсем другое. </w:t>
      </w:r>
    </w:p>
    <w:p w14:paraId="2AA997F6">
      <w:pPr>
        <w:numPr>
          <w:ilvl w:val="0"/>
          <w:numId w:val="0"/>
        </w:numPr>
        <w:autoSpaceDE w:val="0"/>
        <w:autoSpaceDN w:val="0"/>
        <w:adjustRightInd w:val="0"/>
        <w:rPr>
          <w:rFonts w:hint="default"/>
          <w:bCs/>
          <w:sz w:val="22"/>
          <w:szCs w:val="22"/>
          <w:lang w:val="ru-RU"/>
        </w:rPr>
      </w:pPr>
      <w:r>
        <w:rPr>
          <w:rFonts w:hint="default"/>
          <w:bCs/>
          <w:sz w:val="22"/>
          <w:szCs w:val="22"/>
          <w:u w:val="single"/>
          <w:lang w:val="ru-RU"/>
        </w:rPr>
        <w:t>Но попробуем вот так ответить</w:t>
      </w:r>
      <w:r>
        <w:rPr>
          <w:rFonts w:hint="default"/>
          <w:bCs/>
          <w:sz w:val="22"/>
          <w:szCs w:val="22"/>
          <w:lang w:val="ru-RU"/>
        </w:rPr>
        <w:t>.</w:t>
      </w:r>
    </w:p>
    <w:p w14:paraId="4E362AAB">
      <w:pPr>
        <w:numPr>
          <w:ilvl w:val="0"/>
          <w:numId w:val="0"/>
        </w:numPr>
        <w:autoSpaceDE w:val="0"/>
        <w:autoSpaceDN w:val="0"/>
        <w:adjustRightInd w:val="0"/>
        <w:rPr>
          <w:rFonts w:hint="default"/>
          <w:bCs/>
          <w:sz w:val="22"/>
          <w:szCs w:val="22"/>
          <w:lang w:val="ru-RU"/>
        </w:rPr>
      </w:pPr>
    </w:p>
    <w:p w14:paraId="5B2C7416">
      <w:pPr>
        <w:numPr>
          <w:ilvl w:val="0"/>
          <w:numId w:val="0"/>
        </w:numPr>
        <w:autoSpaceDE w:val="0"/>
        <w:autoSpaceDN w:val="0"/>
        <w:adjustRightInd w:val="0"/>
        <w:rPr>
          <w:rFonts w:hint="default"/>
          <w:bCs/>
          <w:i/>
          <w:iCs/>
          <w:sz w:val="22"/>
          <w:szCs w:val="22"/>
          <w:lang w:val="ru-RU"/>
        </w:rPr>
      </w:pPr>
      <w:r>
        <w:rPr>
          <w:rFonts w:hint="default"/>
          <w:bCs/>
          <w:i/>
          <w:iCs/>
          <w:sz w:val="22"/>
          <w:szCs w:val="22"/>
          <w:lang w:val="ru-RU"/>
        </w:rPr>
        <w:t>We note that PERMANOVA is a distance‑based permutation method and does not rely on a linear model in the traditional sense. Therefore, applying standard linear model diagnostics for predictor collinearity (e.g., Variance Inflation Factor, VIF) in this case has no theoretical foundation. Consequently, we cannot formally assess the degree of collinearity. That said, in our sample, both levels of the factor Type included horses of different origins. The only issue was that French‑origin horses (Fr) were all kept under free‑range co</w:t>
      </w:r>
      <w:bookmarkStart w:id="0" w:name="_GoBack"/>
      <w:bookmarkEnd w:id="0"/>
      <w:r>
        <w:rPr>
          <w:rFonts w:hint="default"/>
          <w:bCs/>
          <w:i/>
          <w:iCs/>
          <w:sz w:val="22"/>
          <w:szCs w:val="22"/>
          <w:lang w:val="ru-RU"/>
        </w:rPr>
        <w:t>nditions. However, given the absence of a statistically significant effect of the factor Origin (see Results section), we decided not to pursue further analysis of this factor.</w:t>
      </w:r>
    </w:p>
    <w:p w14:paraId="6D6429B3">
      <w:pPr>
        <w:numPr>
          <w:ilvl w:val="0"/>
          <w:numId w:val="0"/>
        </w:numPr>
        <w:autoSpaceDE w:val="0"/>
        <w:autoSpaceDN w:val="0"/>
        <w:adjustRightInd w:val="0"/>
        <w:rPr>
          <w:rFonts w:hint="default"/>
          <w:bCs/>
          <w:i/>
          <w:iCs/>
          <w:sz w:val="22"/>
          <w:szCs w:val="22"/>
          <w:lang w:val="ru-RU"/>
        </w:rPr>
      </w:pPr>
    </w:p>
    <w:p w14:paraId="411B1F34">
      <w:pPr>
        <w:numPr>
          <w:ilvl w:val="0"/>
          <w:numId w:val="0"/>
        </w:numPr>
        <w:autoSpaceDE w:val="0"/>
        <w:autoSpaceDN w:val="0"/>
        <w:adjustRightInd w:val="0"/>
        <w:rPr>
          <w:rFonts w:hint="default"/>
          <w:bCs/>
          <w:i/>
          <w:iCs/>
          <w:sz w:val="22"/>
          <w:szCs w:val="22"/>
          <w:lang w:val="ru-RU"/>
        </w:rPr>
      </w:pPr>
      <w:r>
        <w:rPr>
          <w:rFonts w:hint="default"/>
          <w:bCs/>
          <w:i/>
          <w:iCs/>
          <w:sz w:val="22"/>
          <w:szCs w:val="22"/>
          <w:lang w:val="ru-RU"/>
        </w:rPr>
        <w:t>Pairwise post‑hoc comparisons concerned only the factor Type. Again, standard linear model tests such as Tukey’s HSD, developed for classical ANOVA, are not appropriate for our analysis. However, since the factor Type has only two levels, post‑hoc comparisons are unnecessary in this case.</w:t>
      </w:r>
    </w:p>
    <w:p w14:paraId="2E9A1FAA">
      <w:pPr>
        <w:numPr>
          <w:ilvl w:val="0"/>
          <w:numId w:val="0"/>
        </w:numPr>
        <w:autoSpaceDE w:val="0"/>
        <w:autoSpaceDN w:val="0"/>
        <w:adjustRightInd w:val="0"/>
        <w:rPr>
          <w:rFonts w:hint="default"/>
          <w:bCs/>
          <w:i/>
          <w:iCs/>
          <w:sz w:val="22"/>
          <w:szCs w:val="22"/>
          <w:lang w:val="ru-RU"/>
        </w:rPr>
      </w:pPr>
    </w:p>
    <w:p w14:paraId="7ED931F0">
      <w:pPr>
        <w:numPr>
          <w:ilvl w:val="0"/>
          <w:numId w:val="0"/>
        </w:numPr>
        <w:autoSpaceDE w:val="0"/>
        <w:autoSpaceDN w:val="0"/>
        <w:adjustRightInd w:val="0"/>
        <w:rPr>
          <w:rFonts w:hint="default"/>
          <w:bCs/>
          <w:sz w:val="22"/>
          <w:szCs w:val="22"/>
          <w:lang w:val="ru-RU"/>
        </w:rPr>
      </w:pPr>
    </w:p>
    <w:p w14:paraId="1F9B0133">
      <w:pPr>
        <w:autoSpaceDE w:val="0"/>
        <w:autoSpaceDN w:val="0"/>
        <w:adjustRightInd w:val="0"/>
        <w:rPr>
          <w:bCs/>
          <w:sz w:val="22"/>
          <w:szCs w:val="22"/>
          <w:lang w:val="en-US"/>
        </w:rPr>
      </w:pPr>
    </w:p>
    <w:p w14:paraId="5475798F">
      <w:pPr>
        <w:autoSpaceDE w:val="0"/>
        <w:autoSpaceDN w:val="0"/>
        <w:adjustRightInd w:val="0"/>
        <w:rPr>
          <w:bCs/>
          <w:sz w:val="22"/>
          <w:szCs w:val="22"/>
          <w:lang w:val="en-US"/>
        </w:rPr>
      </w:pPr>
      <w:r>
        <w:rPr>
          <w:bCs/>
          <w:sz w:val="22"/>
          <w:szCs w:val="22"/>
          <w:lang w:val="en-US"/>
        </w:rPr>
        <w:t>After adding this information, the article can be recommended for publication in Protistology.</w:t>
      </w:r>
    </w:p>
    <w:p w14:paraId="16129C65">
      <w:pPr>
        <w:autoSpaceDE w:val="0"/>
        <w:autoSpaceDN w:val="0"/>
        <w:adjustRightInd w:val="0"/>
        <w:rPr>
          <w:bCs/>
          <w:sz w:val="22"/>
          <w:szCs w:val="22"/>
          <w:lang w:val="en-US"/>
        </w:rPr>
      </w:pPr>
    </w:p>
    <w:p w14:paraId="41A77593">
      <w:pPr>
        <w:autoSpaceDE w:val="0"/>
        <w:autoSpaceDN w:val="0"/>
        <w:adjustRightInd w:val="0"/>
        <w:rPr>
          <w:rFonts w:ascii="Arial" w:hAnsi="Arial" w:cs="Arial"/>
          <w:b/>
          <w:bCs/>
          <w:sz w:val="20"/>
          <w:lang w:val="en-US"/>
        </w:rPr>
      </w:pPr>
    </w:p>
    <w:p w14:paraId="143632B4">
      <w:pPr>
        <w:spacing w:line="360" w:lineRule="auto"/>
        <w:rPr>
          <w:rFonts w:ascii="Arial" w:hAnsi="Arial" w:cs="Arial"/>
          <w:sz w:val="20"/>
          <w:lang w:val="en-US"/>
        </w:rPr>
      </w:pPr>
    </w:p>
    <w:p w14:paraId="136420AE">
      <w:pPr>
        <w:spacing w:line="360" w:lineRule="auto"/>
        <w:rPr>
          <w:rFonts w:ascii="Arial" w:hAnsi="Arial" w:cs="Arial"/>
          <w:sz w:val="20"/>
          <w:lang w:val="en-US"/>
        </w:rPr>
      </w:pPr>
    </w:p>
    <w:p w14:paraId="71064FD7">
      <w:pPr>
        <w:spacing w:line="360" w:lineRule="auto"/>
        <w:rPr>
          <w:rFonts w:ascii="Arial" w:hAnsi="Arial" w:cs="Arial"/>
          <w:sz w:val="20"/>
          <w:lang w:val="en-US"/>
        </w:rPr>
      </w:pPr>
      <w:r>
        <w:rPr>
          <w:rFonts w:ascii="Arial" w:hAnsi="Arial" w:cs="Arial"/>
          <w:sz w:val="20"/>
          <w:lang w:val="en-US"/>
        </w:rPr>
        <w:t xml:space="preserve"> </w:t>
      </w:r>
    </w:p>
    <w:p w14:paraId="197736B1">
      <w:pPr>
        <w:spacing w:line="360" w:lineRule="auto"/>
        <w:rPr>
          <w:rFonts w:ascii="Arial" w:hAnsi="Arial" w:cs="Arial"/>
          <w:sz w:val="20"/>
          <w:lang w:val="en-US"/>
        </w:rPr>
      </w:pPr>
    </w:p>
    <w:p w14:paraId="4389B6D3">
      <w:pPr>
        <w:spacing w:line="360" w:lineRule="auto"/>
        <w:rPr>
          <w:rFonts w:ascii="Arial" w:hAnsi="Arial" w:cs="Arial"/>
          <w:sz w:val="20"/>
          <w:lang w:val="en-US"/>
        </w:rPr>
      </w:pPr>
    </w:p>
    <w:sectPr>
      <w:pgSz w:w="11906" w:h="16838"/>
      <w:pgMar w:top="851" w:right="1134" w:bottom="964" w:left="1134"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CC"/>
    <w:family w:val="swiss"/>
    <w:pitch w:val="default"/>
    <w:sig w:usb0="E4002EFF" w:usb1="C000247B" w:usb2="00000009" w:usb3="00000000" w:csb0="200001FF" w:csb1="00000000"/>
  </w:font>
  <w:font w:name="NSimSun">
    <w:panose1 w:val="02010609030101010101"/>
    <w:charset w:val="86"/>
    <w:family w:val="auto"/>
    <w:pitch w:val="default"/>
    <w:sig w:usb0="00000203" w:usb1="288F0000" w:usb2="00000006" w:usb3="00000000" w:csb0="00040001" w:csb1="00000000"/>
  </w:font>
  <w:font w:name="Lucida Sans">
    <w:panose1 w:val="020B0602030504020204"/>
    <w:charset w:val="00"/>
    <w:family w:val="auto"/>
    <w:pitch w:val="default"/>
    <w:sig w:usb0="00000003" w:usb1="00000000" w:usb2="00000000" w:usb3="00000000" w:csb0="20000001" w:csb1="00000000"/>
  </w:font>
  <w:font w:name="AdverGothic">
    <w:altName w:val="Calibri"/>
    <w:panose1 w:val="00000000000000000000"/>
    <w:charset w:val="00"/>
    <w:family w:val="auto"/>
    <w:pitch w:val="default"/>
    <w:sig w:usb0="00000000" w:usb1="00000000" w:usb2="00000000" w:usb3="00000000" w:csb0="00000001"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452FBA"/>
    <w:multiLevelType w:val="singleLevel"/>
    <w:tmpl w:val="A4452FBA"/>
    <w:lvl w:ilvl="0" w:tentative="0">
      <w:start w:val="3"/>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embedSystemFonts/>
  <w:bordersDoNotSurroundHeader w:val="0"/>
  <w:bordersDoNotSurroundFooter w:val="0"/>
  <w:documentProtection w:enforcement="0"/>
  <w:defaultTabStop w:val="720"/>
  <w:displayHorizontalDrawingGridEvery w:val="1"/>
  <w:displayVerticalDrawingGridEvery w:val="1"/>
  <w:doNotUseMarginsForDrawingGridOrigin w:val="1"/>
  <w:drawingGridHorizontalOrigin w:val="1800"/>
  <w:drawingGridVerticalOrigin w:val="1440"/>
  <w:noPunctuationKerning w:val="1"/>
  <w:characterSpacingControl w:val="doNotCompress"/>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55C5B"/>
    <w:rsid w:val="00193760"/>
    <w:rsid w:val="00221B1E"/>
    <w:rsid w:val="002617D7"/>
    <w:rsid w:val="002737DD"/>
    <w:rsid w:val="00287C58"/>
    <w:rsid w:val="002C58E1"/>
    <w:rsid w:val="002C65E7"/>
    <w:rsid w:val="00313055"/>
    <w:rsid w:val="00392B76"/>
    <w:rsid w:val="004E38D2"/>
    <w:rsid w:val="00552FF6"/>
    <w:rsid w:val="005B0F96"/>
    <w:rsid w:val="005F253B"/>
    <w:rsid w:val="00734B61"/>
    <w:rsid w:val="007F48BD"/>
    <w:rsid w:val="00845251"/>
    <w:rsid w:val="00850672"/>
    <w:rsid w:val="00852797"/>
    <w:rsid w:val="009368DC"/>
    <w:rsid w:val="00943EB6"/>
    <w:rsid w:val="009A6934"/>
    <w:rsid w:val="00A1613F"/>
    <w:rsid w:val="00A77D93"/>
    <w:rsid w:val="00B6401C"/>
    <w:rsid w:val="00BD5E8E"/>
    <w:rsid w:val="00C35CB3"/>
    <w:rsid w:val="00CD2CA6"/>
    <w:rsid w:val="00D3191C"/>
    <w:rsid w:val="00E36CEE"/>
    <w:rsid w:val="00ED4BF7"/>
    <w:rsid w:val="00F47D49"/>
    <w:rsid w:val="00F55C5B"/>
    <w:rsid w:val="00F967C2"/>
    <w:rsid w:val="00FD4D75"/>
    <w:rsid w:val="1F142C89"/>
    <w:rsid w:val="29C82F98"/>
    <w:rsid w:val="7A8B0310"/>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nhideWhenUsed="0" w:uiPriority="0" w:semiHidden="0" w:name="heading 3"/>
    <w:lsdException w:qFormat="1"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atentStyles>
  <w:style w:type="paragraph" w:default="1" w:styleId="1">
    <w:name w:val="Normal"/>
    <w:qFormat/>
    <w:uiPriority w:val="0"/>
    <w:rPr>
      <w:rFonts w:ascii="Times New Roman" w:hAnsi="Times New Roman" w:eastAsia="Times New Roman" w:cs="Times New Roman"/>
      <w:sz w:val="24"/>
      <w:lang w:val="ru-RU" w:eastAsia="ru-RU" w:bidi="ar-SA"/>
    </w:rPr>
  </w:style>
  <w:style w:type="paragraph" w:styleId="2">
    <w:name w:val="heading 1"/>
    <w:basedOn w:val="1"/>
    <w:next w:val="1"/>
    <w:qFormat/>
    <w:uiPriority w:val="0"/>
    <w:pPr>
      <w:keepNext/>
      <w:ind w:firstLine="459"/>
      <w:jc w:val="center"/>
      <w:outlineLvl w:val="0"/>
    </w:pPr>
    <w:rPr>
      <w:b/>
      <w:u w:val="single"/>
    </w:rPr>
  </w:style>
  <w:style w:type="paragraph" w:styleId="3">
    <w:name w:val="heading 3"/>
    <w:basedOn w:val="1"/>
    <w:next w:val="1"/>
    <w:qFormat/>
    <w:uiPriority w:val="0"/>
    <w:pPr>
      <w:keepNext/>
      <w:outlineLvl w:val="2"/>
    </w:pPr>
    <w:rPr>
      <w:rFonts w:ascii="AdverGothic" w:hAnsi="AdverGothic"/>
      <w:b/>
      <w:sz w:val="56"/>
      <w:lang w:val="en-GB"/>
    </w:rPr>
  </w:style>
  <w:style w:type="paragraph" w:styleId="4">
    <w:name w:val="heading 4"/>
    <w:basedOn w:val="1"/>
    <w:next w:val="1"/>
    <w:qFormat/>
    <w:uiPriority w:val="0"/>
    <w:pPr>
      <w:keepNext/>
      <w:outlineLvl w:val="3"/>
    </w:pPr>
    <w:rPr>
      <w:b/>
      <w:sz w:val="32"/>
      <w:lang w:val="en-GB"/>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Hyperlink"/>
    <w:basedOn w:val="5"/>
    <w:qFormat/>
    <w:uiPriority w:val="0"/>
    <w:rPr>
      <w:color w:val="0000FF"/>
      <w:u w:val="single"/>
    </w:rPr>
  </w:style>
  <w:style w:type="paragraph" w:styleId="8">
    <w:name w:val="Body Text Indent 3"/>
    <w:basedOn w:val="1"/>
    <w:qFormat/>
    <w:uiPriority w:val="0"/>
    <w:pPr>
      <w:ind w:firstLine="567"/>
    </w:pPr>
    <w:rPr>
      <w:sz w:val="20"/>
      <w:lang w:val="en-GB"/>
    </w:rPr>
  </w:style>
  <w:style w:type="paragraph" w:styleId="9">
    <w:name w:val="Body Text"/>
    <w:basedOn w:val="1"/>
    <w:qFormat/>
    <w:uiPriority w:val="0"/>
    <w:rPr>
      <w:sz w:val="22"/>
      <w:lang w:val="en-US"/>
    </w:rPr>
  </w:style>
  <w:style w:type="paragraph" w:styleId="10">
    <w:name w:val="Body Text 3"/>
    <w:basedOn w:val="1"/>
    <w:qFormat/>
    <w:uiPriority w:val="0"/>
    <w:rPr>
      <w:b/>
      <w:lang w:val="en-US"/>
    </w:rPr>
  </w:style>
  <w:style w:type="paragraph" w:styleId="11">
    <w:name w:val="Body Text Indent 2"/>
    <w:basedOn w:val="1"/>
    <w:qFormat/>
    <w:uiPriority w:val="0"/>
    <w:pPr>
      <w:ind w:left="567"/>
    </w:pPr>
    <w:rPr>
      <w:sz w:val="16"/>
      <w:lang w:val="en-GB"/>
    </w:rPr>
  </w:style>
  <w:style w:type="paragraph" w:styleId="12">
    <w:name w:val="Block Text"/>
    <w:basedOn w:val="1"/>
    <w:qFormat/>
    <w:uiPriority w:val="0"/>
    <w:pPr>
      <w:spacing w:before="40" w:after="40"/>
      <w:ind w:left="119" w:right="125"/>
      <w:jc w:val="both"/>
    </w:pPr>
    <w:rPr>
      <w:sz w:val="20"/>
      <w:lang w:val="en-US"/>
    </w:rPr>
  </w:style>
  <w:style w:type="paragraph" w:customStyle="1" w:styleId="13">
    <w:name w:val="заголовок 1"/>
    <w:basedOn w:val="1"/>
    <w:next w:val="1"/>
    <w:qFormat/>
    <w:uiPriority w:val="0"/>
    <w:pPr>
      <w:keepNext/>
      <w:outlineLvl w:val="0"/>
    </w:pPr>
    <w:rPr>
      <w:b/>
      <w:sz w:val="28"/>
    </w:rPr>
  </w:style>
  <w:style w:type="paragraph" w:customStyle="1" w:styleId="14">
    <w:name w:val="Обычный1"/>
    <w:qFormat/>
    <w:uiPriority w:val="0"/>
    <w:pPr>
      <w:spacing w:before="100" w:after="100"/>
    </w:pPr>
    <w:rPr>
      <w:rFonts w:ascii="Times New Roman" w:hAnsi="Times New Roman" w:eastAsia="Times New Roman" w:cs="Times New Roman"/>
      <w:snapToGrid w:val="0"/>
      <w:sz w:val="24"/>
      <w:lang w:val="ru-RU" w:eastAsia="ru-RU"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OWN</Company>
  <Pages>2</Pages>
  <Words>378</Words>
  <Characters>2163</Characters>
  <Lines>12</Lines>
  <Paragraphs>3</Paragraphs>
  <TotalTime>49</TotalTime>
  <ScaleCrop>false</ScaleCrop>
  <LinksUpToDate>false</LinksUpToDate>
  <CharactersWithSpaces>2529</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2026-04-19T18:22:00Z</dcterms:created>
  <dc:creator>Andrew Goodkov</dc:creator>
  <cp:lastModifiedBy>WPS_1775125980</cp:lastModifiedBy>
  <cp:lastPrinted>2001-12-02T00:26:00Z</cp:lastPrinted>
  <dcterms:modified xsi:type="dcterms:W3CDTF">2026-05-08T10:31:18Z</dcterms:modified>
  <dc:title>Protistology</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eyJoZGlkIjoiNGI5N2MxZmVjMDQ1ZWNjODI2ODFiYTk0ZTA3M2RjODQiLCJ1c2VySWQiOiI4MjQ2MzQ1OTkzMjcifQ==</vt:lpwstr>
  </property>
  <property fmtid="{D5CDD505-2E9C-101B-9397-08002B2CF9AE}" pid="3" name="KSOProductBuildVer">
    <vt:lpwstr>1049-12.1.0.25862</vt:lpwstr>
  </property>
  <property fmtid="{D5CDD505-2E9C-101B-9397-08002B2CF9AE}" pid="4" name="ICV">
    <vt:lpwstr>0D08C149D2FD487F9B6029EA5D8BA5C8_13</vt:lpwstr>
  </property>
</Properties>
</file>