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20EB47C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70AD47" w:themeColor="accent6"/>
          <w:sz w:val="24"/>
          <w:szCs w:val="24"/>
          <w:shd w:val="clear" w:color="auto" w:fill="FFFFFF"/>
          <w14:textFill>
            <w14:solidFill>
              <w14:schemeClr w14:val="accent6"/>
            </w14:solidFill>
          </w14:textFill>
        </w:rPr>
      </w:pPr>
      <w:r>
        <w:rPr>
          <w:rFonts w:ascii="Times New Roman" w:hAnsi="Times New Roman" w:cs="Times New Roman"/>
          <w:color w:val="70AD47" w:themeColor="accent6"/>
          <w:sz w:val="24"/>
          <w:szCs w:val="24"/>
          <w:shd w:val="clear" w:color="auto" w:fill="FFFFFF"/>
          <w14:textFill>
            <w14:solidFill>
              <w14:schemeClr w14:val="accent6"/>
            </w14:solidFill>
          </w14:textFill>
        </w:rPr>
        <w:t xml:space="preserve">1.3. Продолжен анализ всего объема данных по экологии MtrBTN1 и MtrBTN2 в Тауйской губе Охотского моря, включая данные по экологическим паттернам распространения линий и приспособленности (репродуктивное состояние, скорость роста) здоровых моллюсков и инфицированных разными линиями MtrBTN. </w:t>
      </w:r>
    </w:p>
    <w:p w14:paraId="5B653CB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5B9BD5" w:themeColor="accent1"/>
          <w:sz w:val="24"/>
          <w:szCs w:val="24"/>
          <w:shd w:val="clear" w:color="auto" w:fill="FFFFFF"/>
          <w14:textFill>
            <w14:solidFill>
              <w14:schemeClr w14:val="accent1"/>
            </w14:solidFill>
          </w14:textFill>
        </w:rPr>
      </w:pPr>
      <w:r>
        <w:rPr>
          <w:rFonts w:ascii="Times New Roman" w:hAnsi="Times New Roman" w:cs="Times New Roman"/>
          <w:color w:val="5B9BD5" w:themeColor="accent1"/>
          <w:sz w:val="24"/>
          <w:szCs w:val="24"/>
          <w:shd w:val="clear" w:color="auto" w:fill="FFFFFF"/>
          <w14:textFill>
            <w14:solidFill>
              <w14:schemeClr w14:val="accent1"/>
            </w14:solidFill>
          </w14:textFill>
        </w:rPr>
        <w:t>1.3. Выявлены факторы среды, определяющие заболеваемость мидий MtrBTN в анцестральном для MtrBTN1 и MtrBTN2 ареале в Охотском море, где обе линии встречаются с «уловимой» частотой. Построена множественная регрессионная модель, в которой зависимой переменной выступает частота больных мидий в популяциях, а в качестве предикторов разнообразные характеристики популяций мидий и их местообитаний.</w:t>
      </w:r>
    </w:p>
    <w:p w14:paraId="5BBAC6B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126610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b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b/>
          <w:sz w:val="24"/>
          <w:szCs w:val="24"/>
          <w:shd w:val="clear" w:color="auto" w:fill="FFFFFF"/>
        </w:rPr>
        <w:t>Два блока иллюстраций. Один – про межпопуляционные паттерны включая ВСЕ изученные предикторы (</w:t>
      </w:r>
      <w:r>
        <w:rPr>
          <w:rFonts w:ascii="Times New Roman" w:hAnsi="Times New Roman" w:cs="Times New Roman"/>
          <w:b/>
          <w:sz w:val="24"/>
          <w:szCs w:val="24"/>
          <w:shd w:val="clear" w:color="auto" w:fill="FFFFFF"/>
          <w:lang w:val="en-US"/>
        </w:rPr>
        <w:t>OGP</w:t>
      </w:r>
      <w:r>
        <w:rPr>
          <w:rFonts w:ascii="Times New Roman" w:hAnsi="Times New Roman" w:cs="Times New Roman"/>
          <w:b/>
          <w:sz w:val="24"/>
          <w:szCs w:val="24"/>
          <w:shd w:val="clear" w:color="auto" w:fill="FFFFFF"/>
        </w:rPr>
        <w:t xml:space="preserve">!). Второй - про меж-индивидуальные включая стерильность (решить за пол - по гистологии или под микроскопом) и приросты как функции от генотипа рака и – интенсивности инвазии (доля раковых клеток по </w:t>
      </w:r>
      <w:r>
        <w:rPr>
          <w:rFonts w:ascii="Times New Roman" w:hAnsi="Times New Roman" w:cs="Times New Roman"/>
          <w:b/>
          <w:sz w:val="24"/>
          <w:szCs w:val="24"/>
          <w:shd w:val="clear" w:color="auto" w:fill="FFFFFF"/>
          <w:lang w:val="en-US"/>
        </w:rPr>
        <w:t>FC</w:t>
      </w:r>
      <w:r>
        <w:rPr>
          <w:rFonts w:ascii="Times New Roman" w:hAnsi="Times New Roman" w:cs="Times New Roman"/>
          <w:b/>
          <w:sz w:val="24"/>
          <w:szCs w:val="24"/>
          <w:shd w:val="clear" w:color="auto" w:fill="FFFFFF"/>
        </w:rPr>
        <w:t>) + текст (Хайтов)</w:t>
      </w:r>
    </w:p>
    <w:p w14:paraId="2AA13652"/>
    <w:p w14:paraId="5261A510">
      <w:r>
        <w:br w:type="page"/>
      </w:r>
    </w:p>
    <w:p w14:paraId="79C183AC">
      <w:pPr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>Факторы, регулирующие распространение линий трансмиссивного рака в Тауйской губе</w:t>
      </w:r>
    </w:p>
    <w:p w14:paraId="60BD6577">
      <w:pPr>
        <w:rPr>
          <w:rFonts w:hint="default"/>
          <w:sz w:val="24"/>
          <w:szCs w:val="24"/>
          <w:lang w:val="ru-RU"/>
        </w:rPr>
      </w:pPr>
    </w:p>
    <w:p w14:paraId="23B675A4">
      <w:pPr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>В данном анализе мы тестировали несколько гипотез. В качестве исходной гипотезы мы рассматривали предположение, что л</w:t>
      </w:r>
      <w:r>
        <w:rPr>
          <w:rFonts w:hint="default"/>
          <w:sz w:val="24"/>
          <w:szCs w:val="24"/>
          <w:lang w:val="ru-RU"/>
        </w:rPr>
        <w:t>инии BTN1 и BTN2, будучи по происхождению клетками одного «родительского» вида (M.trossulus) и близкого эволюционного возраста должны иметь сходные связи с факторами среды. Вторая гипотеза: повышенная частота BTN, как онкологического заболевания, должна коррелировать с уровнем стресса, понижающего иммунитет мидий. Наиболее сильное заражение ожидается в местах с угнетенными поселениями мидий, находящихся в стрессовых условиях.</w:t>
      </w:r>
    </w:p>
    <w:p w14:paraId="717E3590">
      <w:pPr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 xml:space="preserve">При выборе предикторов, потенциально влияющих на частоту встречаемости двух линий </w:t>
      </w:r>
      <w:r>
        <w:rPr>
          <w:rFonts w:hint="default"/>
          <w:sz w:val="24"/>
          <w:szCs w:val="24"/>
          <w:lang w:val="en-US"/>
        </w:rPr>
        <w:t xml:space="preserve">BTN </w:t>
      </w:r>
      <w:r>
        <w:rPr>
          <w:rFonts w:hint="default"/>
          <w:sz w:val="24"/>
          <w:szCs w:val="24"/>
          <w:lang w:val="ru-RU"/>
        </w:rPr>
        <w:t>мы исходили из следующих предпосылок. Ожидаемым источником стресса мы полагали антропогенный пресс со стороны Магадана, как крупного города. При этом в качестве основного предприятия, непосредственно расположенного на побережье, мы рассматривали морской порт. В качестве предиктора, характеризующего это воздействие, мы измеряли расстояние от поселения мидий до порта (вдоль береговой линии). Поскольку для мидий ключевым фактором, обеспечивающим стабильное снабжение пищей и регулярное пополнение молодью является уровень гидродинамической напряженности (течения, прибой) в качестве величины, косвенно оценивающей этот параметр, мы использовали величину открытости побережья для прибоя (</w:t>
      </w:r>
      <w:r>
        <w:rPr>
          <w:rFonts w:hint="default"/>
          <w:sz w:val="24"/>
          <w:szCs w:val="24"/>
          <w:lang w:val="en-US"/>
        </w:rPr>
        <w:t>Fetch</w:t>
      </w:r>
      <w:r>
        <w:rPr>
          <w:rFonts w:hint="default"/>
          <w:sz w:val="24"/>
          <w:szCs w:val="24"/>
          <w:lang w:val="ru-RU"/>
        </w:rPr>
        <w:t xml:space="preserve">). Мы предполагаем, что в условиях повышенного прибоя мидии встречают более выгодные условия, по сравнению с изолированными акваториями с низкой гидродинамической напряженностью. Для непосредственной оценки уровня благополучия мидий мы анализировали рост моллюсков из тех поселений, где анализировали частоту </w:t>
      </w:r>
      <w:r>
        <w:rPr>
          <w:rFonts w:hint="default"/>
          <w:sz w:val="24"/>
          <w:szCs w:val="24"/>
          <w:lang w:val="en-US"/>
        </w:rPr>
        <w:t>BTN</w:t>
      </w:r>
      <w:r>
        <w:rPr>
          <w:rFonts w:hint="default"/>
          <w:sz w:val="24"/>
          <w:szCs w:val="24"/>
          <w:lang w:val="ru-RU"/>
        </w:rPr>
        <w:t xml:space="preserve">. Для всего поселения мы оценивали величину </w:t>
      </w:r>
      <w:r>
        <w:rPr>
          <w:rFonts w:hint="default"/>
          <w:sz w:val="24"/>
          <w:szCs w:val="24"/>
          <w:lang w:val="en-US"/>
        </w:rPr>
        <w:t>OGP</w:t>
      </w:r>
      <w:r>
        <w:rPr>
          <w:rFonts w:hint="default"/>
          <w:sz w:val="24"/>
          <w:szCs w:val="24"/>
          <w:lang w:val="ru-RU"/>
        </w:rPr>
        <w:t xml:space="preserve">, которая характеризует средний уровень ростовых процессов в поселении. Предполагается, что чем выше </w:t>
      </w:r>
      <w:r>
        <w:rPr>
          <w:rFonts w:hint="default"/>
          <w:sz w:val="24"/>
          <w:szCs w:val="24"/>
          <w:lang w:val="en-US"/>
        </w:rPr>
        <w:t>OGP</w:t>
      </w:r>
      <w:r>
        <w:rPr>
          <w:rFonts w:hint="default"/>
          <w:sz w:val="24"/>
          <w:szCs w:val="24"/>
          <w:lang w:val="ru-RU"/>
        </w:rPr>
        <w:t xml:space="preserve"> тем более активно идет рост и тем более благоприятны условия существования моллюсков. Дополнительно мы оценили структуру популяции хозяина (размерная структура, выраженная в терминах главных компонент, которые характеризуют относительное обилие молоди и старых моллюсков в поселении). </w:t>
      </w:r>
    </w:p>
    <w:p w14:paraId="215FD26A">
      <w:pPr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 xml:space="preserve">Подобранная нами модель (см. Рис. +++) демонстрировала статистически значимые связи со всеми изученными предикторами только в отношении линии </w:t>
      </w:r>
      <w:r>
        <w:rPr>
          <w:rFonts w:hint="default"/>
          <w:sz w:val="24"/>
          <w:szCs w:val="24"/>
          <w:lang w:val="en-US"/>
        </w:rPr>
        <w:t>BTN1 (</w:t>
      </w:r>
      <w:r>
        <w:rPr>
          <w:rFonts w:hint="default"/>
          <w:sz w:val="24"/>
          <w:szCs w:val="24"/>
          <w:lang w:val="ru-RU"/>
        </w:rPr>
        <w:t xml:space="preserve">Табл. +++), ни одной значимой связи для линии </w:t>
      </w:r>
      <w:r>
        <w:rPr>
          <w:rFonts w:hint="default"/>
          <w:sz w:val="24"/>
          <w:szCs w:val="24"/>
          <w:lang w:val="en-US"/>
        </w:rPr>
        <w:t xml:space="preserve">BTN2 </w:t>
      </w:r>
      <w:r>
        <w:rPr>
          <w:rFonts w:hint="default"/>
          <w:sz w:val="24"/>
          <w:szCs w:val="24"/>
          <w:lang w:val="ru-RU"/>
        </w:rPr>
        <w:t xml:space="preserve">выявлено не было. Таким образом, наша первая гипотеза была опровергнута. Две линии трансмиссивного рака демонстрируют разные связи с параметрами среды. </w:t>
      </w:r>
      <w:r>
        <w:rPr>
          <w:rFonts w:hint="default"/>
          <w:sz w:val="24"/>
          <w:szCs w:val="24"/>
          <w:lang w:val="en-US"/>
        </w:rPr>
        <w:t xml:space="preserve">BTN2 </w:t>
      </w:r>
      <w:r>
        <w:rPr>
          <w:rFonts w:hint="default"/>
          <w:sz w:val="24"/>
          <w:szCs w:val="24"/>
          <w:lang w:val="ru-RU"/>
        </w:rPr>
        <w:t xml:space="preserve">менее чувствителен к варьированию как абиотических, так и биотических факторов. </w:t>
      </w:r>
      <w:r>
        <w:rPr>
          <w:rFonts w:hint="default"/>
          <w:sz w:val="24"/>
          <w:szCs w:val="24"/>
          <w:lang w:val="en-US"/>
        </w:rPr>
        <w:t xml:space="preserve">BTN1 </w:t>
      </w:r>
      <w:r>
        <w:rPr>
          <w:rFonts w:hint="default"/>
          <w:sz w:val="24"/>
          <w:szCs w:val="24"/>
          <w:lang w:val="ru-RU"/>
        </w:rPr>
        <w:t xml:space="preserve">имеет более высокую частоту на значительном удалении от источников антропогенного влияния. Что позволяет считать, что и вторая наша гипотеза не подтвердилась. При этом линия </w:t>
      </w:r>
      <w:r>
        <w:rPr>
          <w:rFonts w:hint="default"/>
          <w:sz w:val="24"/>
          <w:szCs w:val="24"/>
          <w:lang w:val="en-US"/>
        </w:rPr>
        <w:t>BTN1</w:t>
      </w:r>
      <w:r>
        <w:rPr>
          <w:rFonts w:hint="default"/>
          <w:sz w:val="24"/>
          <w:szCs w:val="24"/>
          <w:lang w:val="ru-RU"/>
        </w:rPr>
        <w:t xml:space="preserve"> имеет более высокую частоту в тех поселениях, которые формируются на более открытых побережьях, при более активном росте (более высокие значения </w:t>
      </w:r>
      <w:r>
        <w:rPr>
          <w:rFonts w:hint="default"/>
          <w:sz w:val="24"/>
          <w:szCs w:val="24"/>
          <w:lang w:val="en-US"/>
        </w:rPr>
        <w:t>OGP)</w:t>
      </w:r>
      <w:r>
        <w:rPr>
          <w:rFonts w:hint="default"/>
          <w:sz w:val="24"/>
          <w:szCs w:val="24"/>
          <w:lang w:val="ru-RU"/>
        </w:rPr>
        <w:t xml:space="preserve"> и в тех поселениях, где преобладает молодь мидий, то есть происходит более активное пополнение. Все эти осбенности указывают на то, что </w:t>
      </w:r>
      <w:r>
        <w:rPr>
          <w:rFonts w:hint="default"/>
          <w:sz w:val="24"/>
          <w:szCs w:val="24"/>
          <w:lang w:val="en-US"/>
        </w:rPr>
        <w:t xml:space="preserve">BTN1 </w:t>
      </w:r>
      <w:r>
        <w:rPr>
          <w:rFonts w:hint="default"/>
          <w:sz w:val="24"/>
          <w:szCs w:val="24"/>
          <w:lang w:val="ru-RU"/>
        </w:rPr>
        <w:t xml:space="preserve">процветает в условиях максимально благоприятных для его хозяина. </w:t>
      </w:r>
    </w:p>
    <w:p w14:paraId="289BB4FE">
      <w:pPr>
        <w:rPr>
          <w:rFonts w:hint="default"/>
          <w:sz w:val="24"/>
          <w:szCs w:val="24"/>
          <w:lang w:val="ru-RU"/>
        </w:rPr>
      </w:pPr>
    </w:p>
    <w:p w14:paraId="40F7BBBE">
      <w:pPr>
        <w:rPr>
          <w:rFonts w:hint="default"/>
          <w:sz w:val="24"/>
          <w:szCs w:val="24"/>
          <w:lang w:val="ru-RU"/>
        </w:rPr>
      </w:pPr>
    </w:p>
    <w:p w14:paraId="7C5F0C5D">
      <w:pPr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 xml:space="preserve">Таблица ++. Параметры аддитивной модели, описывающей связь частоты </w:t>
      </w:r>
      <w:r>
        <w:rPr>
          <w:rFonts w:hint="default"/>
          <w:sz w:val="24"/>
          <w:szCs w:val="24"/>
          <w:lang w:val="en-US"/>
        </w:rPr>
        <w:t xml:space="preserve">BTN </w:t>
      </w:r>
      <w:r>
        <w:rPr>
          <w:rFonts w:hint="default"/>
          <w:sz w:val="24"/>
          <w:szCs w:val="24"/>
          <w:lang w:val="ru-RU"/>
        </w:rPr>
        <w:t xml:space="preserve">с предикторами </w:t>
      </w:r>
    </w:p>
    <w:tbl>
      <w:tblPr>
        <w:tblStyle w:val="13"/>
        <w:tblW w:w="10412" w:type="dxa"/>
        <w:tblInd w:w="-47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048"/>
        <w:gridCol w:w="1400"/>
        <w:gridCol w:w="1423"/>
        <w:gridCol w:w="2106"/>
        <w:gridCol w:w="1435"/>
      </w:tblGrid>
      <w:tr w14:paraId="51E906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04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65B75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  <w:lang w:val="ru-RU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  <w:lang w:val="ru-RU"/>
              </w:rPr>
              <w:t>Элемент модели</w:t>
            </w:r>
          </w:p>
        </w:tc>
        <w:tc>
          <w:tcPr>
            <w:tcW w:w="1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210450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  <w:lang w:val="en-US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  <w:lang w:val="en-US"/>
              </w:rPr>
              <w:t>edf</w:t>
            </w:r>
          </w:p>
        </w:tc>
        <w:tc>
          <w:tcPr>
            <w:tcW w:w="14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8653A5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  <w:lang w:val="en-US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olor w:val="000000"/>
                <w:spacing w:val="0"/>
                <w:sz w:val="22"/>
                <w:szCs w:val="22"/>
                <w:u w:val="none"/>
                <w:lang w:val="en-US"/>
              </w:rPr>
              <w:t>R</w:t>
            </w: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  <w:lang w:val="en-US"/>
              </w:rPr>
              <w:t>ef.edf</w:t>
            </w:r>
          </w:p>
        </w:tc>
        <w:tc>
          <w:tcPr>
            <w:tcW w:w="21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9A4CB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wordWrap/>
              <w:spacing w:before="0" w:beforeAutospacing="0" w:after="0" w:afterAutospacing="0" w:line="12" w:lineRule="atLeast"/>
              <w:ind w:left="0" w:right="0"/>
              <w:jc w:val="center"/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  <w:lang w:val="en-US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  <w:lang w:val="en-US"/>
              </w:rPr>
              <w:t>Chi.sq</w:t>
            </w:r>
          </w:p>
        </w:tc>
        <w:tc>
          <w:tcPr>
            <w:tcW w:w="14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292E4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  <w:lang w:val="en-US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  <w:lang w:val="en-US"/>
              </w:rPr>
              <w:t>p-value</w:t>
            </w:r>
          </w:p>
        </w:tc>
      </w:tr>
      <w:tr w14:paraId="455D2C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04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BD6DC4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left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s(Dist_Port):LineageBTN1</w:t>
            </w:r>
          </w:p>
        </w:tc>
        <w:tc>
          <w:tcPr>
            <w:tcW w:w="1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AB37D7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1.0</w:t>
            </w:r>
          </w:p>
        </w:tc>
        <w:tc>
          <w:tcPr>
            <w:tcW w:w="14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FC861B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1.0</w:t>
            </w:r>
          </w:p>
        </w:tc>
        <w:tc>
          <w:tcPr>
            <w:tcW w:w="21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2B91A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9.2</w:t>
            </w:r>
          </w:p>
        </w:tc>
        <w:tc>
          <w:tcPr>
            <w:tcW w:w="14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96D3CF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0.002</w:t>
            </w:r>
          </w:p>
        </w:tc>
      </w:tr>
      <w:tr w14:paraId="6C901F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04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9F53DE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left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s(Dist_Port):LineageBTN2</w:t>
            </w:r>
          </w:p>
        </w:tc>
        <w:tc>
          <w:tcPr>
            <w:tcW w:w="1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44BCEC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1.0</w:t>
            </w:r>
          </w:p>
        </w:tc>
        <w:tc>
          <w:tcPr>
            <w:tcW w:w="14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ABF037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1.0</w:t>
            </w:r>
          </w:p>
        </w:tc>
        <w:tc>
          <w:tcPr>
            <w:tcW w:w="21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1D1E78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3.4</w:t>
            </w:r>
          </w:p>
        </w:tc>
        <w:tc>
          <w:tcPr>
            <w:tcW w:w="14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A9A024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0.065</w:t>
            </w:r>
          </w:p>
        </w:tc>
      </w:tr>
      <w:tr w14:paraId="34A737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04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5FBCE7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left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s(fetch):LineageBTN1</w:t>
            </w:r>
          </w:p>
        </w:tc>
        <w:tc>
          <w:tcPr>
            <w:tcW w:w="1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B26B27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1.0</w:t>
            </w:r>
          </w:p>
        </w:tc>
        <w:tc>
          <w:tcPr>
            <w:tcW w:w="14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3CB98F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1.0</w:t>
            </w:r>
          </w:p>
        </w:tc>
        <w:tc>
          <w:tcPr>
            <w:tcW w:w="21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BBC2E8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9.3</w:t>
            </w:r>
          </w:p>
        </w:tc>
        <w:tc>
          <w:tcPr>
            <w:tcW w:w="14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379AF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0.002</w:t>
            </w:r>
          </w:p>
        </w:tc>
      </w:tr>
      <w:tr w14:paraId="42CC02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04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272673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left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s(fetch):LineageBTN2</w:t>
            </w:r>
          </w:p>
        </w:tc>
        <w:tc>
          <w:tcPr>
            <w:tcW w:w="1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7DB5A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1.0</w:t>
            </w:r>
          </w:p>
        </w:tc>
        <w:tc>
          <w:tcPr>
            <w:tcW w:w="14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8B48FC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1.0</w:t>
            </w:r>
          </w:p>
        </w:tc>
        <w:tc>
          <w:tcPr>
            <w:tcW w:w="21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1BB459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0.0</w:t>
            </w:r>
          </w:p>
        </w:tc>
        <w:tc>
          <w:tcPr>
            <w:tcW w:w="14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ECBED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0.979</w:t>
            </w:r>
          </w:p>
        </w:tc>
      </w:tr>
      <w:tr w14:paraId="1FCD40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04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A5D1B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left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s(PC1):LineageBTN1</w:t>
            </w:r>
          </w:p>
        </w:tc>
        <w:tc>
          <w:tcPr>
            <w:tcW w:w="1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A722C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2.0</w:t>
            </w:r>
          </w:p>
        </w:tc>
        <w:tc>
          <w:tcPr>
            <w:tcW w:w="14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3C1E44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2.3</w:t>
            </w:r>
          </w:p>
        </w:tc>
        <w:tc>
          <w:tcPr>
            <w:tcW w:w="21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1584D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8.3</w:t>
            </w:r>
          </w:p>
        </w:tc>
        <w:tc>
          <w:tcPr>
            <w:tcW w:w="14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07C1F1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0.016</w:t>
            </w:r>
          </w:p>
        </w:tc>
      </w:tr>
      <w:tr w14:paraId="5D062F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04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D354A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left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s(PC1):LineageBTN2</w:t>
            </w:r>
          </w:p>
        </w:tc>
        <w:tc>
          <w:tcPr>
            <w:tcW w:w="1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8E731B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1.7</w:t>
            </w:r>
          </w:p>
        </w:tc>
        <w:tc>
          <w:tcPr>
            <w:tcW w:w="14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C1D20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2.1</w:t>
            </w:r>
          </w:p>
        </w:tc>
        <w:tc>
          <w:tcPr>
            <w:tcW w:w="21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CB7C26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5.5</w:t>
            </w:r>
          </w:p>
        </w:tc>
        <w:tc>
          <w:tcPr>
            <w:tcW w:w="14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40873E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0.072</w:t>
            </w:r>
          </w:p>
        </w:tc>
      </w:tr>
      <w:tr w14:paraId="715820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04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AE9378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left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s(OGP):LineageBTN1</w:t>
            </w:r>
          </w:p>
        </w:tc>
        <w:tc>
          <w:tcPr>
            <w:tcW w:w="1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9B2D7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1.7</w:t>
            </w:r>
          </w:p>
        </w:tc>
        <w:tc>
          <w:tcPr>
            <w:tcW w:w="142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1AC44E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1.9</w:t>
            </w:r>
          </w:p>
        </w:tc>
        <w:tc>
          <w:tcPr>
            <w:tcW w:w="210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CCD956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6.0</w:t>
            </w:r>
          </w:p>
        </w:tc>
        <w:tc>
          <w:tcPr>
            <w:tcW w:w="14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345400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0.048</w:t>
            </w:r>
          </w:p>
        </w:tc>
      </w:tr>
      <w:tr w14:paraId="2308C8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048" w:type="dxa"/>
            <w:tcBorders>
              <w:top w:val="single" w:color="000000" w:sz="2" w:space="0"/>
              <w:left w:val="single" w:color="000000" w:sz="2" w:space="0"/>
              <w:bottom w:val="single" w:color="666666" w:sz="8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80B3BD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left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s(OGP):LineageBTN2</w:t>
            </w:r>
          </w:p>
        </w:tc>
        <w:tc>
          <w:tcPr>
            <w:tcW w:w="1400" w:type="dxa"/>
            <w:tcBorders>
              <w:top w:val="single" w:color="000000" w:sz="2" w:space="0"/>
              <w:left w:val="single" w:color="000000" w:sz="2" w:space="0"/>
              <w:bottom w:val="single" w:color="666666" w:sz="8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5024FC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1.0</w:t>
            </w:r>
          </w:p>
        </w:tc>
        <w:tc>
          <w:tcPr>
            <w:tcW w:w="1423" w:type="dxa"/>
            <w:tcBorders>
              <w:top w:val="single" w:color="000000" w:sz="2" w:space="0"/>
              <w:left w:val="single" w:color="000000" w:sz="2" w:space="0"/>
              <w:bottom w:val="single" w:color="666666" w:sz="8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FAA273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1.0</w:t>
            </w:r>
          </w:p>
        </w:tc>
        <w:tc>
          <w:tcPr>
            <w:tcW w:w="2106" w:type="dxa"/>
            <w:tcBorders>
              <w:top w:val="single" w:color="000000" w:sz="2" w:space="0"/>
              <w:left w:val="single" w:color="000000" w:sz="2" w:space="0"/>
              <w:bottom w:val="single" w:color="666666" w:sz="8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5EFC1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2.6</w:t>
            </w:r>
          </w:p>
        </w:tc>
        <w:tc>
          <w:tcPr>
            <w:tcW w:w="1435" w:type="dxa"/>
            <w:tcBorders>
              <w:top w:val="single" w:color="000000" w:sz="2" w:space="0"/>
              <w:left w:val="single" w:color="000000" w:sz="2" w:space="0"/>
              <w:bottom w:val="single" w:color="666666" w:sz="8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AF291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2"/>
                <w:szCs w:val="22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</w:rPr>
              <w:t>0.105</w:t>
            </w:r>
          </w:p>
        </w:tc>
      </w:tr>
    </w:tbl>
    <w:p w14:paraId="6DDBD574">
      <w:pPr>
        <w:rPr>
          <w:rFonts w:hint="default"/>
          <w:sz w:val="24"/>
          <w:szCs w:val="24"/>
          <w:lang w:val="ru-RU"/>
        </w:rPr>
      </w:pPr>
    </w:p>
    <w:p w14:paraId="675A788C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68595" cy="3606165"/>
            <wp:effectExtent l="0" t="0" r="4445" b="5715"/>
            <wp:docPr id="7" name="Изображение 7" descr="BTN1_BTN2_Magadan_Model_predic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BTN1_BTN2_Magadan_Model_predictions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6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7A06C">
      <w:pPr>
        <w:rPr>
          <w:rFonts w:hint="default"/>
          <w:sz w:val="24"/>
          <w:szCs w:val="24"/>
          <w:lang w:val="ru-RU"/>
        </w:rPr>
      </w:pPr>
    </w:p>
    <w:p w14:paraId="7D710E4B">
      <w:pPr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 xml:space="preserve">Рисунок ++. Зависимость частоты встречаемости двух линий </w:t>
      </w:r>
      <w:r>
        <w:rPr>
          <w:rFonts w:hint="default"/>
          <w:sz w:val="24"/>
          <w:szCs w:val="24"/>
          <w:lang w:val="en-US"/>
        </w:rPr>
        <w:t>BTN</w:t>
      </w:r>
      <w:r>
        <w:rPr>
          <w:rFonts w:hint="default"/>
          <w:sz w:val="24"/>
          <w:szCs w:val="24"/>
          <w:lang w:val="ru-RU"/>
        </w:rPr>
        <w:t xml:space="preserve"> от изученных предикторов. </w:t>
      </w:r>
    </w:p>
    <w:p w14:paraId="515CB03E">
      <w:pPr>
        <w:rPr>
          <w:rFonts w:hint="default"/>
          <w:sz w:val="24"/>
          <w:szCs w:val="24"/>
          <w:lang w:val="ru-RU"/>
        </w:rPr>
      </w:pPr>
    </w:p>
    <w:p w14:paraId="0F2049FA">
      <w:pPr>
        <w:rPr>
          <w:rFonts w:hint="default"/>
          <w:sz w:val="24"/>
          <w:szCs w:val="24"/>
          <w:lang w:val="ru-RU"/>
        </w:rPr>
      </w:pPr>
    </w:p>
    <w:p w14:paraId="0C6AAAC4">
      <w:pPr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 xml:space="preserve">Третьей нашей гипотезой было предположение о том, что клетки </w:t>
      </w:r>
      <w:r>
        <w:rPr>
          <w:rFonts w:hint="default"/>
          <w:sz w:val="24"/>
          <w:szCs w:val="24"/>
          <w:lang w:val="en-US"/>
        </w:rPr>
        <w:t>BTN</w:t>
      </w:r>
      <w:r>
        <w:rPr>
          <w:rFonts w:hint="default"/>
          <w:sz w:val="24"/>
          <w:szCs w:val="24"/>
          <w:lang w:val="ru-RU"/>
        </w:rPr>
        <w:t xml:space="preserve">, как паразитические формы, должны манипулировать хозяином, увеличивая приток ресурсов. Самый распространенный среди паразитов прием манипуляции - это снижение репродуктивной активности хозяина, которая приводит к снижению энергозатрат на размножение и высвобождению ресурсов, необходимых для паразита. Мы изучили как зависит частота нарушенй в продукции гамет (отсутствие заметных яйцеклеток или сперматозоидов на мазках раздавленных гонад) от доли анеуплоидных клеток в гемолимфе хозяина, зараженного </w:t>
      </w:r>
      <w:r>
        <w:rPr>
          <w:rFonts w:hint="default"/>
          <w:sz w:val="24"/>
          <w:szCs w:val="24"/>
          <w:lang w:val="en-US"/>
        </w:rPr>
        <w:t>BTN</w:t>
      </w:r>
      <w:r>
        <w:rPr>
          <w:rFonts w:hint="default"/>
          <w:sz w:val="24"/>
          <w:szCs w:val="24"/>
          <w:lang w:val="ru-RU"/>
        </w:rPr>
        <w:t xml:space="preserve">. Статистически значимое увеличение частоты нарушений по мере роста числа аннеуплоидных клеток (развития заболевания) была выявлена только в отношении моллюсков, зараженных </w:t>
      </w:r>
      <w:r>
        <w:rPr>
          <w:rFonts w:hint="default"/>
          <w:sz w:val="24"/>
          <w:szCs w:val="24"/>
          <w:lang w:val="en-US"/>
        </w:rPr>
        <w:t>BTN1</w:t>
      </w:r>
      <w:r>
        <w:rPr>
          <w:rFonts w:hint="default"/>
          <w:sz w:val="24"/>
          <w:szCs w:val="24"/>
          <w:lang w:val="ru-RU"/>
        </w:rPr>
        <w:t xml:space="preserve"> (Табл. ++)</w:t>
      </w:r>
      <w:r>
        <w:rPr>
          <w:rFonts w:hint="default"/>
          <w:sz w:val="24"/>
          <w:szCs w:val="24"/>
          <w:lang w:val="en-US"/>
        </w:rPr>
        <w:t>.</w:t>
      </w:r>
      <w:r>
        <w:rPr>
          <w:rFonts w:hint="default"/>
          <w:sz w:val="24"/>
          <w:szCs w:val="24"/>
          <w:lang w:val="ru-RU"/>
        </w:rPr>
        <w:t xml:space="preserve"> Высокая частота (выше среднего уровня) была отмечена только на поздних стадиях заболевания (Рис. ++), когда доля анеуплоидных клеток превышала 70%. </w:t>
      </w:r>
      <w:r>
        <w:rPr>
          <w:rFonts w:hint="default"/>
          <w:sz w:val="24"/>
          <w:szCs w:val="24"/>
          <w:lang w:val="ru-RU"/>
        </w:rPr>
        <w:t xml:space="preserve">У моллюсков, зараженных </w:t>
      </w:r>
      <w:r>
        <w:rPr>
          <w:rFonts w:hint="default"/>
          <w:sz w:val="24"/>
          <w:szCs w:val="24"/>
          <w:lang w:val="en-US"/>
        </w:rPr>
        <w:t>BTN2</w:t>
      </w:r>
      <w:r>
        <w:rPr>
          <w:rFonts w:hint="default"/>
          <w:sz w:val="24"/>
          <w:szCs w:val="24"/>
          <w:lang w:val="ru-RU"/>
        </w:rPr>
        <w:t>, частота нарушений была на среднем для популяции уровне на всех этапах развития заболевания.</w:t>
      </w:r>
    </w:p>
    <w:p w14:paraId="26D27EA4">
      <w:pPr>
        <w:rPr>
          <w:rFonts w:hint="default"/>
          <w:sz w:val="24"/>
          <w:szCs w:val="24"/>
          <w:lang w:val="ru-RU"/>
        </w:rPr>
      </w:pPr>
    </w:p>
    <w:p w14:paraId="427A4F9E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ru-RU"/>
        </w:rPr>
        <w:t xml:space="preserve">Таблица ++. Параметры аддитивной модели, описывающей связь частоты нарушения продукции гамет долей анеуплоидных клеток в гемолимфе мидий, зараженных разными линиями </w:t>
      </w:r>
      <w:r>
        <w:rPr>
          <w:rFonts w:hint="default"/>
          <w:sz w:val="24"/>
          <w:szCs w:val="24"/>
          <w:lang w:val="en-US"/>
        </w:rPr>
        <w:t>BTN.</w:t>
      </w:r>
    </w:p>
    <w:p w14:paraId="43DB1F20">
      <w:pPr>
        <w:rPr>
          <w:rFonts w:hint="default"/>
          <w:sz w:val="24"/>
          <w:szCs w:val="24"/>
          <w:lang w:val="ru-RU"/>
        </w:rPr>
      </w:pPr>
    </w:p>
    <w:tbl>
      <w:tblPr>
        <w:tblW w:w="838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095"/>
        <w:gridCol w:w="742"/>
        <w:gridCol w:w="1121"/>
        <w:gridCol w:w="1216"/>
        <w:gridCol w:w="1215"/>
      </w:tblGrid>
      <w:tr w14:paraId="3AE4DF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09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90B0C3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leftChars="0" w:right="0" w:rightChars="0"/>
              <w:jc w:val="left"/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  <w:lang w:val="ru-RU" w:eastAsia="en-US" w:bidi="ar-SA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  <w:lang w:val="ru-RU"/>
              </w:rPr>
              <w:t>Элемент модели</w:t>
            </w:r>
          </w:p>
        </w:tc>
        <w:tc>
          <w:tcPr>
            <w:tcW w:w="74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C599D3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leftChars="0" w:right="0" w:rightChars="0"/>
              <w:jc w:val="center"/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  <w:lang w:val="en-US"/>
              </w:rPr>
              <w:t>edf</w:t>
            </w:r>
          </w:p>
        </w:tc>
        <w:tc>
          <w:tcPr>
            <w:tcW w:w="1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AEAF38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leftChars="0" w:right="0" w:rightChars="0"/>
              <w:jc w:val="center"/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olor w:val="000000"/>
                <w:spacing w:val="0"/>
                <w:sz w:val="22"/>
                <w:szCs w:val="22"/>
                <w:u w:val="none"/>
                <w:lang w:val="en-US"/>
              </w:rPr>
              <w:t>R</w:t>
            </w: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  <w:lang w:val="en-US"/>
              </w:rPr>
              <w:t>ef.edf</w:t>
            </w:r>
          </w:p>
        </w:tc>
        <w:tc>
          <w:tcPr>
            <w:tcW w:w="121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91E2B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wordWrap/>
              <w:spacing w:before="0" w:beforeAutospacing="0" w:after="0" w:afterAutospacing="0" w:line="12" w:lineRule="atLeast"/>
              <w:ind w:left="0" w:leftChars="0" w:right="0" w:rightChars="0"/>
              <w:jc w:val="center"/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  <w:lang w:val="en-US"/>
              </w:rPr>
              <w:t>Chi.sq</w:t>
            </w:r>
          </w:p>
        </w:tc>
        <w:tc>
          <w:tcPr>
            <w:tcW w:w="12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6C8B4C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leftChars="0" w:right="0" w:rightChars="0"/>
              <w:jc w:val="center"/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2"/>
                <w:szCs w:val="22"/>
                <w:u w:val="none"/>
                <w:lang w:val="en-US"/>
              </w:rPr>
              <w:t>p-value</w:t>
            </w:r>
          </w:p>
        </w:tc>
      </w:tr>
      <w:tr w14:paraId="21355E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09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3FE38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left"/>
              <w:rPr>
                <w:sz w:val="20"/>
                <w:szCs w:val="20"/>
              </w:rPr>
            </w:pPr>
            <w:r>
              <w:rPr>
                <w:rFonts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bdr w:val="none" w:color="auto" w:sz="0" w:space="0"/>
              </w:rPr>
              <w:t>s(Aneuploid_Proportion):LineageBTN1</w:t>
            </w:r>
          </w:p>
        </w:tc>
        <w:tc>
          <w:tcPr>
            <w:tcW w:w="74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20891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0"/>
                <w:szCs w:val="20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bdr w:val="none" w:color="auto" w:sz="0" w:space="0"/>
              </w:rPr>
              <w:t>1.0</w:t>
            </w:r>
          </w:p>
        </w:tc>
        <w:tc>
          <w:tcPr>
            <w:tcW w:w="11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04F59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0"/>
                <w:szCs w:val="20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bdr w:val="none" w:color="auto" w:sz="0" w:space="0"/>
              </w:rPr>
              <w:t>1.0</w:t>
            </w:r>
          </w:p>
        </w:tc>
        <w:tc>
          <w:tcPr>
            <w:tcW w:w="121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92317A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0"/>
                <w:szCs w:val="20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bdr w:val="none" w:color="auto" w:sz="0" w:space="0"/>
              </w:rPr>
              <w:t>10.3</w:t>
            </w:r>
          </w:p>
        </w:tc>
        <w:tc>
          <w:tcPr>
            <w:tcW w:w="12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0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7110A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0"/>
                <w:szCs w:val="20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bdr w:val="none" w:color="auto" w:sz="0" w:space="0"/>
              </w:rPr>
              <w:t>0.001</w:t>
            </w:r>
          </w:p>
        </w:tc>
      </w:tr>
      <w:tr w14:paraId="228BCF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095" w:type="dxa"/>
            <w:tcBorders>
              <w:top w:val="single" w:color="000000" w:sz="2" w:space="0"/>
              <w:left w:val="single" w:color="000000" w:sz="2" w:space="0"/>
              <w:bottom w:val="single" w:color="666666" w:sz="8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C8527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left"/>
              <w:rPr>
                <w:sz w:val="20"/>
                <w:szCs w:val="20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bdr w:val="none" w:color="auto" w:sz="0" w:space="0"/>
              </w:rPr>
              <w:t>s(Aneuploid_Proportion):LineageBTN2</w:t>
            </w:r>
          </w:p>
        </w:tc>
        <w:tc>
          <w:tcPr>
            <w:tcW w:w="742" w:type="dxa"/>
            <w:tcBorders>
              <w:top w:val="single" w:color="000000" w:sz="2" w:space="0"/>
              <w:left w:val="single" w:color="000000" w:sz="2" w:space="0"/>
              <w:bottom w:val="single" w:color="666666" w:sz="8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136C85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0"/>
                <w:szCs w:val="20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bdr w:val="none" w:color="auto" w:sz="0" w:space="0"/>
              </w:rPr>
              <w:t>1.0</w:t>
            </w:r>
          </w:p>
        </w:tc>
        <w:tc>
          <w:tcPr>
            <w:tcW w:w="1121" w:type="dxa"/>
            <w:tcBorders>
              <w:top w:val="single" w:color="000000" w:sz="2" w:space="0"/>
              <w:left w:val="single" w:color="000000" w:sz="2" w:space="0"/>
              <w:bottom w:val="single" w:color="666666" w:sz="8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E89428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0"/>
                <w:szCs w:val="20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bdr w:val="none" w:color="auto" w:sz="0" w:space="0"/>
              </w:rPr>
              <w:t>1.0</w:t>
            </w:r>
          </w:p>
        </w:tc>
        <w:tc>
          <w:tcPr>
            <w:tcW w:w="1216" w:type="dxa"/>
            <w:tcBorders>
              <w:top w:val="single" w:color="000000" w:sz="2" w:space="0"/>
              <w:left w:val="single" w:color="000000" w:sz="2" w:space="0"/>
              <w:bottom w:val="single" w:color="666666" w:sz="8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02693C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0"/>
                <w:szCs w:val="20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bdr w:val="none" w:color="auto" w:sz="0" w:space="0"/>
              </w:rPr>
              <w:t>2.0</w:t>
            </w:r>
          </w:p>
        </w:tc>
        <w:tc>
          <w:tcPr>
            <w:tcW w:w="1215" w:type="dxa"/>
            <w:tcBorders>
              <w:top w:val="single" w:color="000000" w:sz="2" w:space="0"/>
              <w:left w:val="single" w:color="000000" w:sz="2" w:space="0"/>
              <w:bottom w:val="single" w:color="666666" w:sz="8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A84D10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0"/>
                <w:szCs w:val="20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bdr w:val="none" w:color="auto" w:sz="0" w:space="0"/>
              </w:rPr>
              <w:t>0.153</w:t>
            </w:r>
          </w:p>
        </w:tc>
      </w:tr>
    </w:tbl>
    <w:p w14:paraId="597B80BB">
      <w:pPr>
        <w:rPr>
          <w:rFonts w:hint="default"/>
          <w:sz w:val="24"/>
          <w:szCs w:val="24"/>
          <w:lang w:val="ru-RU"/>
        </w:rPr>
      </w:pPr>
    </w:p>
    <w:p w14:paraId="1D56BE34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ru-RU"/>
        </w:rPr>
        <w:t xml:space="preserve"> </w:t>
      </w:r>
      <w:r>
        <w:rPr>
          <w:rFonts w:hint="default"/>
          <w:sz w:val="24"/>
          <w:szCs w:val="24"/>
          <w:lang w:val="en-US"/>
        </w:rPr>
        <w:t xml:space="preserve"> </w:t>
      </w:r>
      <w:r>
        <w:rPr>
          <w:rFonts w:hint="default"/>
          <w:sz w:val="24"/>
          <w:szCs w:val="24"/>
          <w:lang w:val="en-US"/>
        </w:rPr>
        <w:drawing>
          <wp:inline distT="0" distB="0" distL="114300" distR="114300">
            <wp:extent cx="5270500" cy="3253740"/>
            <wp:effectExtent l="0" t="0" r="2540" b="7620"/>
            <wp:docPr id="8" name="Изображение 8" descr="BTN1_BTN2_Magadan_Gonad_anomal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BTN1_BTN2_Magadan_Gonad_anomalia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25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F36DF">
      <w:pPr>
        <w:rPr>
          <w:rFonts w:hint="default"/>
          <w:sz w:val="24"/>
          <w:szCs w:val="24"/>
          <w:lang w:val="ru-RU"/>
        </w:rPr>
      </w:pPr>
      <w:r>
        <w:rPr>
          <w:rFonts w:hint="default"/>
          <w:sz w:val="24"/>
          <w:szCs w:val="24"/>
          <w:lang w:val="ru-RU"/>
        </w:rPr>
        <w:t xml:space="preserve">Рисунок ++. Зависимость частоты нарушений в продукции гамет от доли анеуплоидных клеток в гемолимфе мидии. </w:t>
      </w:r>
    </w:p>
    <w:p w14:paraId="0E8F6538">
      <w:pPr>
        <w:rPr>
          <w:rFonts w:hint="default"/>
          <w:lang w:val="ru-RU"/>
        </w:rPr>
      </w:pPr>
    </w:p>
    <w:p w14:paraId="7C93BDED">
      <w:pPr>
        <w:rPr>
          <w:rFonts w:hint="default"/>
          <w:lang w:val="ru-RU"/>
        </w:rPr>
      </w:pPr>
      <w:r>
        <w:rPr>
          <w:rFonts w:hint="default"/>
          <w:lang w:val="ru-RU"/>
        </w:rPr>
        <w:t>Четвертая гипотеза</w:t>
      </w:r>
      <w:r>
        <w:rPr>
          <w:rFonts w:hint="default"/>
          <w:lang w:val="en-US"/>
        </w:rPr>
        <w:t xml:space="preserve">: </w:t>
      </w:r>
      <w:r>
        <w:rPr>
          <w:rFonts w:hint="default"/>
          <w:lang w:val="ru-RU"/>
        </w:rPr>
        <w:t xml:space="preserve">если </w:t>
      </w:r>
      <w:r>
        <w:rPr>
          <w:rFonts w:hint="default"/>
          <w:lang w:val="en-US"/>
        </w:rPr>
        <w:t xml:space="preserve">BTN </w:t>
      </w:r>
      <w:r>
        <w:rPr>
          <w:rFonts w:hint="default"/>
          <w:lang w:val="ru-RU"/>
        </w:rPr>
        <w:t xml:space="preserve">эффективно снижает репродуктивные способности хозяина, то высвободившаяся энергия должна приводить к более интенсивному росту хозяина. Мы изучили как зависит относительный прирост раковины мидий за текущий год (объединенные данные 2021 и 2023 гг, </w:t>
      </w:r>
      <w:r>
        <w:rPr>
          <w:rFonts w:hint="default"/>
          <w:lang w:val="en-US"/>
        </w:rPr>
        <w:t>3000</w:t>
      </w:r>
      <w:r>
        <w:rPr>
          <w:rFonts w:hint="default"/>
          <w:lang w:val="ru-RU"/>
        </w:rPr>
        <w:t xml:space="preserve"> изученных моллюсков) у трех категорий мидий: здоровые, зараженные </w:t>
      </w:r>
      <w:r>
        <w:rPr>
          <w:rFonts w:hint="default"/>
          <w:lang w:val="en-US"/>
        </w:rPr>
        <w:t xml:space="preserve">BTN1 </w:t>
      </w:r>
      <w:r>
        <w:rPr>
          <w:rFonts w:hint="default"/>
          <w:lang w:val="ru-RU"/>
        </w:rPr>
        <w:t xml:space="preserve">и зараженные </w:t>
      </w:r>
      <w:r>
        <w:rPr>
          <w:rFonts w:hint="default"/>
          <w:lang w:val="en-US"/>
        </w:rPr>
        <w:t xml:space="preserve">BTN2. </w:t>
      </w:r>
      <w:r>
        <w:rPr>
          <w:rFonts w:hint="default"/>
          <w:lang w:val="ru-RU"/>
        </w:rPr>
        <w:t xml:space="preserve">Относительный прирост был вычислен, как отношение расстояния от края раковины до последнего кольца остановки роста. Для корректировки в модель, в качестве ковариаты, был внесен размер мидии, оцененый как расстояние от вершины раковины до последнего кольца остановки роста. 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Подобранная модель показала, что относительный прирост последнего года у моллюсков, зараженных </w:t>
      </w:r>
      <w:r>
        <w:rPr>
          <w:rFonts w:hint="default"/>
          <w:lang w:val="en-US"/>
        </w:rPr>
        <w:t>BTN2</w:t>
      </w:r>
      <w:r>
        <w:rPr>
          <w:rFonts w:hint="default"/>
          <w:lang w:val="ru-RU"/>
        </w:rPr>
        <w:t>,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был статистически значимо выше, чем у моллюсков, зараженных </w:t>
      </w:r>
      <w:r>
        <w:rPr>
          <w:rFonts w:hint="default"/>
          <w:lang w:val="en-US"/>
        </w:rPr>
        <w:t xml:space="preserve">BTN1 </w:t>
      </w:r>
      <w:r>
        <w:rPr>
          <w:rFonts w:hint="default"/>
          <w:lang w:val="ru-RU"/>
        </w:rPr>
        <w:t xml:space="preserve">и у здоровых особей (табл. ++, рис. +++ А). Прирост у двух последних категорий значимо не отличался. При этом описанные различия прослеживаются и на сырых данных, рассмотренных без учета влияния размера, как ковариаты (рис. ++). Таким образом, наша четвертая гипотеза подтвердилась только в отношении линии </w:t>
      </w:r>
      <w:r>
        <w:rPr>
          <w:rFonts w:hint="default"/>
          <w:lang w:val="en-US"/>
        </w:rPr>
        <w:t>BTN2.</w:t>
      </w:r>
      <w:r>
        <w:rPr>
          <w:rFonts w:hint="default"/>
          <w:lang w:val="ru-RU"/>
        </w:rPr>
        <w:t xml:space="preserve"> Заражение моллсков этой линеией трансмиссивного рака демонстрирует эффект аналогичный ускоренному росту хозяина при паразитарной кастрации.    </w:t>
      </w:r>
    </w:p>
    <w:p w14:paraId="5F0C0B2A">
      <w:pPr>
        <w:rPr>
          <w:rFonts w:hint="default"/>
          <w:lang w:val="ru-RU"/>
        </w:rPr>
      </w:pPr>
    </w:p>
    <w:p w14:paraId="27A6AC63">
      <w:pPr>
        <w:rPr>
          <w:rFonts w:hint="default"/>
          <w:lang w:val="ru-RU"/>
        </w:rPr>
      </w:pPr>
      <w:r>
        <w:rPr>
          <w:rFonts w:hint="default"/>
          <w:lang w:val="ru-RU"/>
        </w:rPr>
        <w:t>Таблица ++. Параметры модели, описывающей связь (приводится только параметрическая часть аддитивной модели)</w:t>
      </w:r>
    </w:p>
    <w:tbl>
      <w:tblPr>
        <w:tblStyle w:val="13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80"/>
        <w:gridCol w:w="1440"/>
        <w:gridCol w:w="1440"/>
        <w:gridCol w:w="707"/>
        <w:gridCol w:w="1464"/>
      </w:tblGrid>
      <w:tr w14:paraId="62C410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8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47F6AC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left"/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lang w:val="ru-RU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lang w:val="ru-RU"/>
              </w:rPr>
              <w:t>Элемент модели</w:t>
            </w:r>
          </w:p>
        </w:tc>
        <w:tc>
          <w:tcPr>
            <w:tcW w:w="14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B5B0BE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wordWrap/>
              <w:spacing w:before="0" w:beforeAutospacing="0" w:after="0" w:afterAutospacing="0" w:line="12" w:lineRule="atLeast"/>
              <w:ind w:left="0" w:right="0"/>
              <w:jc w:val="center"/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lang w:val="ru-RU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lang w:val="ru-RU"/>
              </w:rPr>
              <w:t>Оценка</w:t>
            </w:r>
          </w:p>
        </w:tc>
        <w:tc>
          <w:tcPr>
            <w:tcW w:w="14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B3DF93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lang w:val="en-US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lang w:val="en-US"/>
              </w:rPr>
              <w:t>SE</w:t>
            </w:r>
          </w:p>
        </w:tc>
        <w:tc>
          <w:tcPr>
            <w:tcW w:w="70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30474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lang w:val="en-US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lang w:val="en-US"/>
              </w:rPr>
              <w:t>F</w:t>
            </w:r>
          </w:p>
        </w:tc>
        <w:tc>
          <w:tcPr>
            <w:tcW w:w="146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32966C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lang w:val="en-US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lang w:val="en-US"/>
              </w:rPr>
              <w:t>p-value</w:t>
            </w:r>
          </w:p>
        </w:tc>
      </w:tr>
      <w:tr w14:paraId="69A282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8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026B0C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left"/>
              <w:rPr>
                <w:sz w:val="20"/>
                <w:szCs w:val="20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</w:rPr>
              <w:t>(Intercept)</w:t>
            </w:r>
          </w:p>
        </w:tc>
        <w:tc>
          <w:tcPr>
            <w:tcW w:w="14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1E5B12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0"/>
                <w:szCs w:val="20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</w:rPr>
              <w:t>25.08</w:t>
            </w:r>
          </w:p>
        </w:tc>
        <w:tc>
          <w:tcPr>
            <w:tcW w:w="14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3738DC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0"/>
                <w:szCs w:val="20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</w:rPr>
              <w:t>1.22</w:t>
            </w:r>
          </w:p>
        </w:tc>
        <w:tc>
          <w:tcPr>
            <w:tcW w:w="70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89C07C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0"/>
                <w:szCs w:val="20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</w:rPr>
              <w:t>20.51</w:t>
            </w:r>
          </w:p>
        </w:tc>
        <w:tc>
          <w:tcPr>
            <w:tcW w:w="146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0B94EF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0"/>
                <w:szCs w:val="20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</w:rPr>
              <w:t>0.0000</w:t>
            </w:r>
          </w:p>
        </w:tc>
      </w:tr>
      <w:tr w14:paraId="46E154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8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838705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left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</w:rPr>
              <w:t>BTN_Type</w:t>
            </w: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lang w:val="ru-RU"/>
              </w:rPr>
              <w:t>(</w:t>
            </w: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</w:rPr>
              <w:t>BTN2</w:t>
            </w: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lang w:val="ru-RU"/>
              </w:rPr>
              <w:t>)</w:t>
            </w:r>
          </w:p>
        </w:tc>
        <w:tc>
          <w:tcPr>
            <w:tcW w:w="14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DDC64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0"/>
                <w:szCs w:val="20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</w:rPr>
              <w:t>4.24</w:t>
            </w:r>
          </w:p>
        </w:tc>
        <w:tc>
          <w:tcPr>
            <w:tcW w:w="144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94568D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0"/>
                <w:szCs w:val="20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</w:rPr>
              <w:t>1.66</w:t>
            </w:r>
          </w:p>
        </w:tc>
        <w:tc>
          <w:tcPr>
            <w:tcW w:w="70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FC5179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0"/>
                <w:szCs w:val="20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</w:rPr>
              <w:t>2.55</w:t>
            </w:r>
          </w:p>
        </w:tc>
        <w:tc>
          <w:tcPr>
            <w:tcW w:w="146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94BB05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0"/>
                <w:szCs w:val="20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</w:rPr>
              <w:t>0.0109</w:t>
            </w:r>
          </w:p>
        </w:tc>
      </w:tr>
      <w:tr w14:paraId="0BC2CC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2880" w:type="dxa"/>
            <w:tcBorders>
              <w:top w:val="single" w:color="000000" w:sz="2" w:space="0"/>
              <w:left w:val="single" w:color="000000" w:sz="2" w:space="0"/>
              <w:bottom w:val="single" w:color="666666" w:sz="8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4426F8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left"/>
              <w:rPr>
                <w:rFonts w:hint="default"/>
                <w:sz w:val="20"/>
                <w:szCs w:val="20"/>
                <w:lang w:val="ru-RU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</w:rPr>
              <w:t>BTN_Type</w:t>
            </w: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lang w:val="ru-RU"/>
              </w:rPr>
              <w:t>(</w:t>
            </w: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</w:rPr>
              <w:t>Здоровые</w:t>
            </w: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  <w:lang w:val="ru-RU"/>
              </w:rPr>
              <w:t>)</w:t>
            </w:r>
          </w:p>
        </w:tc>
        <w:tc>
          <w:tcPr>
            <w:tcW w:w="1440" w:type="dxa"/>
            <w:tcBorders>
              <w:top w:val="single" w:color="000000" w:sz="2" w:space="0"/>
              <w:left w:val="single" w:color="000000" w:sz="2" w:space="0"/>
              <w:bottom w:val="single" w:color="666666" w:sz="8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B6952A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0"/>
                <w:szCs w:val="20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</w:rPr>
              <w:t>0.67</w:t>
            </w:r>
          </w:p>
        </w:tc>
        <w:tc>
          <w:tcPr>
            <w:tcW w:w="1440" w:type="dxa"/>
            <w:tcBorders>
              <w:top w:val="single" w:color="000000" w:sz="2" w:space="0"/>
              <w:left w:val="single" w:color="000000" w:sz="2" w:space="0"/>
              <w:bottom w:val="single" w:color="666666" w:sz="8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3F0F8C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0"/>
                <w:szCs w:val="20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</w:rPr>
              <w:t>1.07</w:t>
            </w:r>
          </w:p>
        </w:tc>
        <w:tc>
          <w:tcPr>
            <w:tcW w:w="707" w:type="dxa"/>
            <w:tcBorders>
              <w:top w:val="single" w:color="000000" w:sz="2" w:space="0"/>
              <w:left w:val="single" w:color="000000" w:sz="2" w:space="0"/>
              <w:bottom w:val="single" w:color="666666" w:sz="8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4D8D2C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0"/>
                <w:szCs w:val="20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</w:rPr>
              <w:t>0.63</w:t>
            </w:r>
          </w:p>
        </w:tc>
        <w:tc>
          <w:tcPr>
            <w:tcW w:w="1464" w:type="dxa"/>
            <w:tcBorders>
              <w:top w:val="single" w:color="000000" w:sz="2" w:space="0"/>
              <w:left w:val="single" w:color="000000" w:sz="2" w:space="0"/>
              <w:bottom w:val="single" w:color="666666" w:sz="8" w:space="0"/>
              <w:right w:val="single" w:color="000000" w:sz="2" w:space="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EEDE73">
            <w:pPr>
              <w:pStyle w:val="90"/>
              <w:keepNext w:val="0"/>
              <w:keepLines w:val="0"/>
              <w:widowControl/>
              <w:suppressLineNumbers w:val="0"/>
              <w:pBdr>
                <w:top w:val="single" w:color="000000" w:sz="2" w:space="5"/>
                <w:left w:val="single" w:color="000000" w:sz="2" w:space="5"/>
                <w:bottom w:val="single" w:color="000000" w:sz="2" w:space="5"/>
                <w:right w:val="single" w:color="000000" w:sz="2" w:space="5"/>
              </w:pBdr>
              <w:spacing w:before="0" w:beforeAutospacing="0" w:after="0" w:afterAutospacing="0" w:line="12" w:lineRule="atLeast"/>
              <w:ind w:left="0" w:right="0"/>
              <w:jc w:val="center"/>
              <w:rPr>
                <w:sz w:val="20"/>
                <w:szCs w:val="20"/>
              </w:rPr>
            </w:pPr>
            <w:r>
              <w:rPr>
                <w:rFonts w:hint="default" w:ascii="Arial" w:hAnsi="Arial" w:eastAsia="Helvetica" w:cs="Arial"/>
                <w:b w:val="0"/>
                <w:bCs w:val="0"/>
                <w:i w:val="0"/>
                <w:iCs w:val="0"/>
                <w:caps w:val="0"/>
                <w:color w:val="000000"/>
                <w:spacing w:val="0"/>
                <w:sz w:val="20"/>
                <w:szCs w:val="20"/>
                <w:u w:val="none"/>
              </w:rPr>
              <w:t>0.5307</w:t>
            </w:r>
          </w:p>
        </w:tc>
      </w:tr>
    </w:tbl>
    <w:p w14:paraId="1FB48FA7">
      <w:pPr>
        <w:rPr>
          <w:lang w:val="en-US"/>
        </w:rPr>
      </w:pPr>
    </w:p>
    <w:p w14:paraId="67B7D0A5">
      <w:pPr>
        <w:rPr>
          <w:lang w:val="en-US"/>
        </w:rPr>
      </w:pPr>
    </w:p>
    <w:p w14:paraId="645684E6">
      <w:pPr>
        <w:rPr>
          <w:lang w:val="en-US"/>
        </w:rPr>
      </w:pPr>
      <w:r>
        <w:rPr>
          <w:lang w:val="en-US"/>
        </w:rPr>
        <w:drawing>
          <wp:inline distT="0" distB="0" distL="114300" distR="114300">
            <wp:extent cx="5272405" cy="5452110"/>
            <wp:effectExtent l="0" t="0" r="635" b="3810"/>
            <wp:docPr id="9" name="Изображение 9" descr="BTN1_BTN2_Magadan_Grow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BTN1_BTN2_Magadan_Growth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545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9B40A">
      <w:pPr>
        <w:rPr>
          <w:lang w:val="en-US"/>
        </w:rPr>
      </w:pPr>
    </w:p>
    <w:p w14:paraId="72AD6B76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Рисунок ++. Относительный прирост длины раковины за последний год у мидий, зараженных двумя линиями </w:t>
      </w:r>
      <w:r>
        <w:rPr>
          <w:rFonts w:hint="default"/>
          <w:lang w:val="en-US"/>
        </w:rPr>
        <w:t>BTN</w:t>
      </w:r>
      <w:r>
        <w:rPr>
          <w:rFonts w:hint="default"/>
          <w:lang w:val="ru-RU"/>
        </w:rPr>
        <w:t>, и здоровых особей. А. Скорректированные средние значения, с учетом размера, как ковариаты, предсказание моделью. Усы отражают 95% доверительный интервал (при среднем значении размера). Над диаграммой приведены результаты пост-хок сравнений с помощью критерия Вальда.  Б. Распределение первичных значений относительного прироста, без учета размера, как ковари</w:t>
      </w:r>
      <w:bookmarkStart w:id="0" w:name="_GoBack"/>
      <w:bookmarkEnd w:id="0"/>
      <w:r>
        <w:rPr>
          <w:rFonts w:hint="default"/>
          <w:lang w:val="ru-RU"/>
        </w:rPr>
        <w:t xml:space="preserve">аты. </w:t>
      </w:r>
    </w:p>
    <w:p w14:paraId="4D1C59B2">
      <w:pPr>
        <w:rPr>
          <w:lang w:val="en-US"/>
        </w:rPr>
      </w:pPr>
    </w:p>
    <w:sectPr>
      <w:pgSz w:w="11906" w:h="16838"/>
      <w:pgMar w:top="1440" w:right="1800" w:bottom="1440" w:left="180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35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63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50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88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7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81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84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83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8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82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9"/>
  </w:num>
  <w:num w:numId="7">
    <w:abstractNumId w:val="7"/>
  </w:num>
  <w:num w:numId="8">
    <w:abstractNumId w:val="6"/>
  </w:num>
  <w:num w:numId="9">
    <w:abstractNumId w:val="8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2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2E45C18"/>
    <w:rsid w:val="00050A31"/>
    <w:rsid w:val="000657E6"/>
    <w:rsid w:val="000716D2"/>
    <w:rsid w:val="00071AAB"/>
    <w:rsid w:val="00082D67"/>
    <w:rsid w:val="000A4F11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B7F6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3836"/>
    <w:rsid w:val="006649F0"/>
    <w:rsid w:val="006712FB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37A78"/>
    <w:rsid w:val="00A91424"/>
    <w:rsid w:val="00AA2C77"/>
    <w:rsid w:val="00AC3FB9"/>
    <w:rsid w:val="00AC702A"/>
    <w:rsid w:val="00AD226F"/>
    <w:rsid w:val="00B13A52"/>
    <w:rsid w:val="00B224CB"/>
    <w:rsid w:val="00B24CF4"/>
    <w:rsid w:val="00B26993"/>
    <w:rsid w:val="00B42EB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335B"/>
    <w:rsid w:val="00C776A4"/>
    <w:rsid w:val="00CA2C6C"/>
    <w:rsid w:val="00CC0600"/>
    <w:rsid w:val="00CC78AC"/>
    <w:rsid w:val="00CD5C4A"/>
    <w:rsid w:val="00CF7953"/>
    <w:rsid w:val="00D07232"/>
    <w:rsid w:val="00D10245"/>
    <w:rsid w:val="00D11E83"/>
    <w:rsid w:val="00D21BDD"/>
    <w:rsid w:val="00D37AAE"/>
    <w:rsid w:val="00D65F07"/>
    <w:rsid w:val="00D92BB7"/>
    <w:rsid w:val="00DC76D2"/>
    <w:rsid w:val="00DD30ED"/>
    <w:rsid w:val="00E64C21"/>
    <w:rsid w:val="00E91715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88005EC"/>
    <w:rsid w:val="09C2553B"/>
    <w:rsid w:val="13A260BC"/>
    <w:rsid w:val="391B30B1"/>
    <w:rsid w:val="3A5B4A05"/>
    <w:rsid w:val="3D2E204C"/>
    <w:rsid w:val="45403A0B"/>
    <w:rsid w:val="4B32292F"/>
    <w:rsid w:val="4DC82D45"/>
    <w:rsid w:val="50225E22"/>
    <w:rsid w:val="552E3A44"/>
    <w:rsid w:val="571A361F"/>
    <w:rsid w:val="64463DC8"/>
    <w:rsid w:val="6A8F5933"/>
    <w:rsid w:val="71511E5F"/>
    <w:rsid w:val="719F7B15"/>
    <w:rsid w:val="72E45C18"/>
    <w:rsid w:val="7DC02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3"/>
    <w:qFormat/>
    <w:uiPriority w:val="0"/>
    <w:pPr>
      <w:keepNext/>
      <w:keepLines/>
      <w:spacing w:before="480" w:after="0"/>
      <w:jc w:val="center"/>
      <w:outlineLvl w:val="0"/>
    </w:pPr>
    <w:rPr>
      <w:rFonts w:asciiTheme="majorAscii" w:hAnsiTheme="majorAscii" w:eastAsiaTheme="majorEastAsia" w:cstheme="majorBidi"/>
      <w:b/>
      <w:bCs/>
      <w:color w:val="000000" w:themeColor="text1"/>
      <w:sz w:val="28"/>
      <w:szCs w:val="32"/>
      <w:lang w:eastAsia="en-US"/>
      <w14:textFill>
        <w14:solidFill>
          <w14:schemeClr w14:val="tx1"/>
        </w14:solidFill>
      </w14:textFill>
    </w:rPr>
  </w:style>
  <w:style w:type="paragraph" w:styleId="4">
    <w:name w:val="heading 2"/>
    <w:basedOn w:val="1"/>
    <w:next w:val="3"/>
    <w:link w:val="151"/>
    <w:semiHidden/>
    <w:unhideWhenUsed/>
    <w:qFormat/>
    <w:uiPriority w:val="0"/>
    <w:pPr>
      <w:keepNext/>
      <w:keepLines/>
      <w:spacing w:before="200" w:after="0"/>
      <w:jc w:val="center"/>
      <w:outlineLvl w:val="1"/>
    </w:pPr>
    <w:rPr>
      <w:rFonts w:asciiTheme="majorAscii" w:hAnsiTheme="majorAscii" w:eastAsiaTheme="majorEastAsia" w:cstheme="majorBidi"/>
      <w:b/>
      <w:bCs/>
      <w:i/>
      <w:color w:val="000000" w:themeColor="text1"/>
      <w:szCs w:val="24"/>
      <w:lang w:eastAsia="en-US"/>
      <w14:textFill>
        <w14:solidFill>
          <w14:schemeClr w14:val="tx1"/>
        </w14:solidFill>
      </w14:textFill>
    </w:rPr>
  </w:style>
  <w:style w:type="paragraph" w:styleId="5">
    <w:name w:val="heading 3"/>
    <w:basedOn w:val="1"/>
    <w:next w:val="1"/>
    <w:semiHidden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paragraph" w:styleId="6">
    <w:name w:val="heading 4"/>
    <w:basedOn w:val="1"/>
    <w:next w:val="1"/>
    <w:semiHidden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kern w:val="0"/>
      <w:sz w:val="28"/>
      <w:szCs w:val="28"/>
    </w:rPr>
  </w:style>
  <w:style w:type="paragraph" w:styleId="7">
    <w:name w:val="heading 5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4"/>
    </w:pPr>
    <w:rPr>
      <w:b/>
      <w:bCs/>
      <w:i/>
      <w:iCs/>
      <w:kern w:val="0"/>
      <w:sz w:val="26"/>
      <w:szCs w:val="26"/>
    </w:rPr>
  </w:style>
  <w:style w:type="paragraph" w:styleId="8">
    <w:name w:val="heading 6"/>
    <w:basedOn w:val="1"/>
    <w:next w:val="3"/>
    <w:semiHidden/>
    <w:unhideWhenUsed/>
    <w:qFormat/>
    <w:uiPriority w:val="0"/>
    <w:pPr>
      <w:keepNext/>
      <w:keepLines/>
      <w:spacing w:before="200" w:after="0"/>
      <w:jc w:val="both"/>
      <w:outlineLvl w:val="5"/>
    </w:pPr>
    <w:rPr>
      <w:rFonts w:asciiTheme="majorAscii" w:hAnsiTheme="majorAscii" w:eastAsiaTheme="majorEastAsia" w:cstheme="majorBidi"/>
      <w:color w:val="000000" w:themeColor="text1"/>
      <w:sz w:val="20"/>
      <w:szCs w:val="24"/>
      <w:lang w:eastAsia="en-US"/>
      <w14:textFill>
        <w14:solidFill>
          <w14:schemeClr w14:val="tx1"/>
        </w14:solidFill>
      </w14:textFill>
    </w:rPr>
  </w:style>
  <w:style w:type="paragraph" w:styleId="9">
    <w:name w:val="heading 7"/>
    <w:basedOn w:val="1"/>
    <w:next w:val="1"/>
    <w:semiHidden/>
    <w:unhideWhenUsed/>
    <w:qFormat/>
    <w:uiPriority w:val="0"/>
    <w:pPr>
      <w:widowControl/>
      <w:spacing w:before="240" w:after="60"/>
      <w:outlineLvl w:val="6"/>
    </w:pPr>
    <w:rPr>
      <w:kern w:val="0"/>
      <w:sz w:val="24"/>
      <w:szCs w:val="24"/>
    </w:rPr>
  </w:style>
  <w:style w:type="paragraph" w:styleId="10">
    <w:name w:val="heading 8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7"/>
    </w:pPr>
    <w:rPr>
      <w:i/>
      <w:iCs/>
      <w:kern w:val="0"/>
      <w:sz w:val="24"/>
      <w:szCs w:val="24"/>
    </w:rPr>
  </w:style>
  <w:style w:type="paragraph" w:styleId="11">
    <w:name w:val="heading 9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8"/>
    </w:pPr>
    <w:rPr>
      <w:rFonts w:ascii="Arial" w:hAnsi="Arial" w:cs="Arial"/>
      <w:kern w:val="0"/>
      <w:sz w:val="22"/>
      <w:szCs w:val="22"/>
    </w:rPr>
  </w:style>
  <w:style w:type="character" w:default="1" w:styleId="12">
    <w:name w:val="Default Paragraph Font"/>
    <w:semiHidden/>
    <w:unhideWhenUsed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52"/>
    <w:qFormat/>
    <w:uiPriority w:val="0"/>
    <w:pPr>
      <w:spacing w:before="180" w:after="180"/>
      <w:jc w:val="both"/>
    </w:pPr>
    <w:rPr>
      <w:rFonts w:asciiTheme="minorAscii" w:hAnsiTheme="minorAscii" w:eastAsiaTheme="minorEastAsia"/>
      <w:szCs w:val="24"/>
      <w:lang w:eastAsia="en-US"/>
    </w:rPr>
  </w:style>
  <w:style w:type="character" w:styleId="14">
    <w:name w:val="HTML Sample"/>
    <w:basedOn w:val="12"/>
    <w:autoRedefine/>
    <w:qFormat/>
    <w:uiPriority w:val="0"/>
    <w:rPr>
      <w:rFonts w:ascii="Courier New" w:hAnsi="Courier New" w:cs="Courier New"/>
    </w:rPr>
  </w:style>
  <w:style w:type="character" w:styleId="15">
    <w:name w:val="FollowedHyperlink"/>
    <w:basedOn w:val="12"/>
    <w:autoRedefine/>
    <w:qFormat/>
    <w:uiPriority w:val="0"/>
    <w:rPr>
      <w:color w:val="800080"/>
      <w:u w:val="single"/>
    </w:rPr>
  </w:style>
  <w:style w:type="character" w:styleId="16">
    <w:name w:val="footnote reference"/>
    <w:basedOn w:val="12"/>
    <w:autoRedefine/>
    <w:qFormat/>
    <w:uiPriority w:val="0"/>
    <w:rPr>
      <w:vertAlign w:val="superscript"/>
    </w:rPr>
  </w:style>
  <w:style w:type="character" w:styleId="17">
    <w:name w:val="annotation reference"/>
    <w:basedOn w:val="12"/>
    <w:autoRedefine/>
    <w:qFormat/>
    <w:uiPriority w:val="0"/>
    <w:rPr>
      <w:sz w:val="21"/>
      <w:szCs w:val="21"/>
    </w:rPr>
  </w:style>
  <w:style w:type="character" w:styleId="18">
    <w:name w:val="endnote reference"/>
    <w:basedOn w:val="12"/>
    <w:autoRedefine/>
    <w:qFormat/>
    <w:uiPriority w:val="0"/>
    <w:rPr>
      <w:vertAlign w:val="superscript"/>
    </w:rPr>
  </w:style>
  <w:style w:type="character" w:styleId="19">
    <w:name w:val="HTML Acronym"/>
    <w:basedOn w:val="12"/>
    <w:autoRedefine/>
    <w:qFormat/>
    <w:uiPriority w:val="0"/>
  </w:style>
  <w:style w:type="character" w:styleId="20">
    <w:name w:val="Emphasis"/>
    <w:basedOn w:val="12"/>
    <w:autoRedefine/>
    <w:qFormat/>
    <w:uiPriority w:val="0"/>
    <w:rPr>
      <w:i/>
      <w:iCs/>
    </w:rPr>
  </w:style>
  <w:style w:type="character" w:styleId="21">
    <w:name w:val="Hyperlink"/>
    <w:basedOn w:val="12"/>
    <w:autoRedefine/>
    <w:qFormat/>
    <w:uiPriority w:val="0"/>
    <w:rPr>
      <w:color w:val="0000FF"/>
      <w:u w:val="single"/>
    </w:rPr>
  </w:style>
  <w:style w:type="character" w:styleId="22">
    <w:name w:val="HTML Keyboard"/>
    <w:basedOn w:val="12"/>
    <w:qFormat/>
    <w:uiPriority w:val="0"/>
    <w:rPr>
      <w:rFonts w:ascii="Courier New" w:hAnsi="Courier New" w:cs="Courier New"/>
      <w:sz w:val="20"/>
      <w:szCs w:val="20"/>
    </w:rPr>
  </w:style>
  <w:style w:type="character" w:styleId="23">
    <w:name w:val="HTML Code"/>
    <w:basedOn w:val="12"/>
    <w:autoRedefine/>
    <w:qFormat/>
    <w:uiPriority w:val="0"/>
    <w:rPr>
      <w:rFonts w:ascii="Courier New" w:hAnsi="Courier New" w:cs="Courier New"/>
      <w:sz w:val="20"/>
      <w:szCs w:val="20"/>
    </w:rPr>
  </w:style>
  <w:style w:type="character" w:styleId="24">
    <w:name w:val="page number"/>
    <w:basedOn w:val="12"/>
    <w:autoRedefine/>
    <w:qFormat/>
    <w:uiPriority w:val="0"/>
  </w:style>
  <w:style w:type="character" w:styleId="25">
    <w:name w:val="line number"/>
    <w:basedOn w:val="12"/>
    <w:qFormat/>
    <w:uiPriority w:val="0"/>
  </w:style>
  <w:style w:type="character" w:styleId="26">
    <w:name w:val="HTML Definition"/>
    <w:basedOn w:val="12"/>
    <w:autoRedefine/>
    <w:qFormat/>
    <w:uiPriority w:val="0"/>
    <w:rPr>
      <w:i/>
      <w:iCs/>
    </w:rPr>
  </w:style>
  <w:style w:type="character" w:styleId="27">
    <w:name w:val="HTML Variable"/>
    <w:basedOn w:val="12"/>
    <w:qFormat/>
    <w:uiPriority w:val="0"/>
    <w:rPr>
      <w:i/>
      <w:iCs/>
    </w:rPr>
  </w:style>
  <w:style w:type="character" w:styleId="28">
    <w:name w:val="HTML Typewriter"/>
    <w:basedOn w:val="12"/>
    <w:autoRedefine/>
    <w:qFormat/>
    <w:uiPriority w:val="0"/>
    <w:rPr>
      <w:rFonts w:ascii="Courier New" w:hAnsi="Courier New" w:cs="Courier New"/>
      <w:sz w:val="20"/>
      <w:szCs w:val="20"/>
    </w:rPr>
  </w:style>
  <w:style w:type="character" w:styleId="29">
    <w:name w:val="Strong"/>
    <w:basedOn w:val="12"/>
    <w:qFormat/>
    <w:uiPriority w:val="0"/>
    <w:rPr>
      <w:b/>
      <w:bCs/>
    </w:rPr>
  </w:style>
  <w:style w:type="character" w:styleId="30">
    <w:name w:val="HTML Cite"/>
    <w:basedOn w:val="12"/>
    <w:autoRedefine/>
    <w:qFormat/>
    <w:uiPriority w:val="0"/>
    <w:rPr>
      <w:i/>
      <w:iCs/>
    </w:rPr>
  </w:style>
  <w:style w:type="paragraph" w:styleId="31">
    <w:name w:val="Balloon Text"/>
    <w:basedOn w:val="1"/>
    <w:autoRedefine/>
    <w:qFormat/>
    <w:uiPriority w:val="0"/>
    <w:rPr>
      <w:sz w:val="16"/>
      <w:szCs w:val="16"/>
    </w:rPr>
  </w:style>
  <w:style w:type="paragraph" w:styleId="32">
    <w:name w:val="List 5"/>
    <w:basedOn w:val="1"/>
    <w:autoRedefine/>
    <w:qFormat/>
    <w:uiPriority w:val="0"/>
    <w:pPr>
      <w:ind w:left="1800" w:hanging="360"/>
    </w:pPr>
  </w:style>
  <w:style w:type="paragraph" w:styleId="33">
    <w:name w:val="List Continue"/>
    <w:basedOn w:val="1"/>
    <w:autoRedefine/>
    <w:qFormat/>
    <w:uiPriority w:val="0"/>
    <w:pPr>
      <w:spacing w:after="120"/>
      <w:ind w:left="360"/>
    </w:pPr>
  </w:style>
  <w:style w:type="paragraph" w:styleId="34">
    <w:name w:val="Body Text 2"/>
    <w:basedOn w:val="1"/>
    <w:qFormat/>
    <w:uiPriority w:val="0"/>
    <w:pPr>
      <w:spacing w:after="120" w:line="480" w:lineRule="auto"/>
    </w:pPr>
  </w:style>
  <w:style w:type="paragraph" w:styleId="35">
    <w:name w:val="List Number 5"/>
    <w:basedOn w:val="1"/>
    <w:qFormat/>
    <w:uiPriority w:val="0"/>
    <w:pPr>
      <w:numPr>
        <w:ilvl w:val="0"/>
        <w:numId w:val="1"/>
      </w:numPr>
    </w:pPr>
  </w:style>
  <w:style w:type="paragraph" w:styleId="36">
    <w:name w:val="Closing"/>
    <w:basedOn w:val="1"/>
    <w:autoRedefine/>
    <w:qFormat/>
    <w:uiPriority w:val="0"/>
    <w:pPr>
      <w:ind w:left="4320"/>
    </w:pPr>
  </w:style>
  <w:style w:type="paragraph" w:styleId="37">
    <w:name w:val="Normal Indent"/>
    <w:basedOn w:val="1"/>
    <w:autoRedefine/>
    <w:qFormat/>
    <w:uiPriority w:val="0"/>
    <w:pPr>
      <w:ind w:left="708"/>
    </w:pPr>
  </w:style>
  <w:style w:type="paragraph" w:styleId="38">
    <w:name w:val="envelope return"/>
    <w:basedOn w:val="1"/>
    <w:qFormat/>
    <w:uiPriority w:val="0"/>
    <w:rPr>
      <w:rFonts w:ascii="Arial" w:hAnsi="Arial" w:cs="Arial"/>
      <w:sz w:val="20"/>
    </w:rPr>
  </w:style>
  <w:style w:type="paragraph" w:styleId="39">
    <w:name w:val="Plain Text"/>
    <w:basedOn w:val="1"/>
    <w:qFormat/>
    <w:uiPriority w:val="0"/>
    <w:rPr>
      <w:rFonts w:ascii="Courier New" w:hAnsi="Courier New" w:cs="Courier New"/>
      <w:sz w:val="20"/>
    </w:rPr>
  </w:style>
  <w:style w:type="paragraph" w:styleId="40">
    <w:name w:val="Body Text Indent 3"/>
    <w:basedOn w:val="1"/>
    <w:qFormat/>
    <w:uiPriority w:val="0"/>
    <w:pPr>
      <w:spacing w:after="120"/>
      <w:ind w:left="360"/>
    </w:pPr>
    <w:rPr>
      <w:sz w:val="16"/>
      <w:szCs w:val="16"/>
    </w:rPr>
  </w:style>
  <w:style w:type="paragraph" w:styleId="41">
    <w:name w:val="endnote text"/>
    <w:basedOn w:val="1"/>
    <w:qFormat/>
    <w:uiPriority w:val="0"/>
    <w:pPr>
      <w:snapToGrid w:val="0"/>
      <w:jc w:val="left"/>
    </w:pPr>
  </w:style>
  <w:style w:type="paragraph" w:styleId="42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43">
    <w:name w:val="annotation text"/>
    <w:basedOn w:val="1"/>
    <w:qFormat/>
    <w:uiPriority w:val="0"/>
    <w:pPr>
      <w:jc w:val="left"/>
    </w:pPr>
  </w:style>
  <w:style w:type="paragraph" w:styleId="44">
    <w:name w:val="index 1"/>
    <w:basedOn w:val="1"/>
    <w:next w:val="1"/>
    <w:qFormat/>
    <w:uiPriority w:val="0"/>
  </w:style>
  <w:style w:type="paragraph" w:styleId="45">
    <w:name w:val="annotation subject"/>
    <w:basedOn w:val="43"/>
    <w:next w:val="43"/>
    <w:qFormat/>
    <w:uiPriority w:val="0"/>
    <w:rPr>
      <w:b/>
      <w:bCs/>
    </w:rPr>
  </w:style>
  <w:style w:type="paragraph" w:styleId="46">
    <w:name w:val="Document Map"/>
    <w:basedOn w:val="1"/>
    <w:qFormat/>
    <w:uiPriority w:val="0"/>
    <w:pPr>
      <w:shd w:val="clear" w:color="auto" w:fill="000080"/>
    </w:pPr>
  </w:style>
  <w:style w:type="paragraph" w:styleId="47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8">
    <w:name w:val="toc 8"/>
    <w:basedOn w:val="1"/>
    <w:next w:val="1"/>
    <w:qFormat/>
    <w:uiPriority w:val="0"/>
    <w:pPr>
      <w:ind w:left="2940" w:leftChars="1400"/>
    </w:pPr>
  </w:style>
  <w:style w:type="paragraph" w:styleId="49">
    <w:name w:val="index 2"/>
    <w:basedOn w:val="1"/>
    <w:next w:val="1"/>
    <w:qFormat/>
    <w:uiPriority w:val="0"/>
    <w:pPr>
      <w:ind w:left="200" w:leftChars="200"/>
    </w:pPr>
  </w:style>
  <w:style w:type="paragraph" w:styleId="50">
    <w:name w:val="List Number 3"/>
    <w:basedOn w:val="1"/>
    <w:qFormat/>
    <w:uiPriority w:val="0"/>
    <w:pPr>
      <w:numPr>
        <w:ilvl w:val="0"/>
        <w:numId w:val="2"/>
      </w:numPr>
    </w:pPr>
  </w:style>
  <w:style w:type="paragraph" w:styleId="51">
    <w:name w:val="HTML Address"/>
    <w:basedOn w:val="1"/>
    <w:qFormat/>
    <w:uiPriority w:val="0"/>
    <w:rPr>
      <w:i/>
      <w:iCs/>
    </w:rPr>
  </w:style>
  <w:style w:type="paragraph" w:styleId="52">
    <w:name w:val="index 7"/>
    <w:basedOn w:val="1"/>
    <w:next w:val="1"/>
    <w:qFormat/>
    <w:uiPriority w:val="0"/>
    <w:pPr>
      <w:ind w:left="1200" w:leftChars="1200"/>
    </w:pPr>
  </w:style>
  <w:style w:type="paragraph" w:styleId="53">
    <w:name w:val="index 3"/>
    <w:basedOn w:val="1"/>
    <w:next w:val="1"/>
    <w:qFormat/>
    <w:uiPriority w:val="0"/>
    <w:pPr>
      <w:ind w:left="400" w:leftChars="400"/>
    </w:pPr>
  </w:style>
  <w:style w:type="paragraph" w:styleId="54">
    <w:name w:val="index 5"/>
    <w:basedOn w:val="1"/>
    <w:next w:val="1"/>
    <w:qFormat/>
    <w:uiPriority w:val="0"/>
    <w:pPr>
      <w:ind w:left="800" w:leftChars="8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57">
    <w:name w:val="toc 9"/>
    <w:basedOn w:val="1"/>
    <w:next w:val="1"/>
    <w:qFormat/>
    <w:uiPriority w:val="0"/>
    <w:pPr>
      <w:ind w:left="3360" w:leftChars="1600"/>
    </w:pPr>
  </w:style>
  <w:style w:type="paragraph" w:styleId="58">
    <w:name w:val="toc 7"/>
    <w:basedOn w:val="1"/>
    <w:next w:val="1"/>
    <w:qFormat/>
    <w:uiPriority w:val="0"/>
    <w:pPr>
      <w:ind w:left="2520" w:leftChars="1200"/>
    </w:pPr>
  </w:style>
  <w:style w:type="paragraph" w:styleId="59">
    <w:name w:val="index 6"/>
    <w:basedOn w:val="1"/>
    <w:next w:val="1"/>
    <w:qFormat/>
    <w:uiPriority w:val="0"/>
    <w:pPr>
      <w:ind w:left="1000" w:leftChars="1000"/>
    </w:pPr>
  </w:style>
  <w:style w:type="paragraph" w:styleId="60">
    <w:name w:val="envelope address"/>
    <w:basedOn w:val="1"/>
    <w:qFormat/>
    <w:uiPriority w:val="0"/>
    <w:pPr>
      <w:framePr w:w="7920" w:h="1980" w:hRule="exact" w:hSpace="180" w:wrap="around" w:vAnchor="margin" w:hAnchor="page" w:xAlign="center" w:yAlign="bottom"/>
      <w:ind w:left="2880"/>
    </w:pPr>
    <w:rPr>
      <w:rFonts w:ascii="Arial" w:hAnsi="Arial" w:cs="Arial"/>
      <w:sz w:val="24"/>
      <w:szCs w:val="24"/>
    </w:rPr>
  </w:style>
  <w:style w:type="paragraph" w:styleId="61">
    <w:name w:val="index 8"/>
    <w:basedOn w:val="1"/>
    <w:next w:val="1"/>
    <w:qFormat/>
    <w:uiPriority w:val="0"/>
    <w:pPr>
      <w:ind w:left="1400" w:leftChars="1400"/>
    </w:pPr>
  </w:style>
  <w:style w:type="paragraph" w:styleId="62">
    <w:name w:val="index 9"/>
    <w:basedOn w:val="1"/>
    <w:next w:val="1"/>
    <w:qFormat/>
    <w:uiPriority w:val="0"/>
    <w:pPr>
      <w:ind w:left="1600" w:leftChars="1600"/>
    </w:pPr>
  </w:style>
  <w:style w:type="paragraph" w:styleId="63">
    <w:name w:val="List Number 4"/>
    <w:basedOn w:val="1"/>
    <w:qFormat/>
    <w:uiPriority w:val="0"/>
    <w:pPr>
      <w:numPr>
        <w:ilvl w:val="0"/>
        <w:numId w:val="3"/>
      </w:numPr>
    </w:pPr>
  </w:style>
  <w:style w:type="paragraph" w:styleId="64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65">
    <w:name w:val="index heading"/>
    <w:basedOn w:val="1"/>
    <w:next w:val="44"/>
    <w:qFormat/>
    <w:uiPriority w:val="0"/>
    <w:rPr>
      <w:rFonts w:ascii="Arial" w:hAnsi="Arial" w:cs="Arial"/>
      <w:b/>
      <w:bCs/>
    </w:rPr>
  </w:style>
  <w:style w:type="paragraph" w:styleId="66">
    <w:name w:val="toc 1"/>
    <w:basedOn w:val="1"/>
    <w:next w:val="1"/>
    <w:qFormat/>
    <w:uiPriority w:val="0"/>
  </w:style>
  <w:style w:type="paragraph" w:styleId="67">
    <w:name w:val="table of authorities"/>
    <w:basedOn w:val="1"/>
    <w:next w:val="1"/>
    <w:qFormat/>
    <w:uiPriority w:val="0"/>
    <w:pPr>
      <w:ind w:left="420" w:leftChars="200"/>
    </w:pPr>
  </w:style>
  <w:style w:type="paragraph" w:styleId="68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69">
    <w:name w:val="toc 6"/>
    <w:basedOn w:val="1"/>
    <w:next w:val="1"/>
    <w:qFormat/>
    <w:uiPriority w:val="0"/>
    <w:pPr>
      <w:ind w:left="2100" w:leftChars="1000"/>
    </w:pPr>
  </w:style>
  <w:style w:type="paragraph" w:styleId="70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71">
    <w:name w:val="toc 3"/>
    <w:basedOn w:val="1"/>
    <w:next w:val="1"/>
    <w:qFormat/>
    <w:uiPriority w:val="0"/>
    <w:pPr>
      <w:ind w:left="840" w:leftChars="400"/>
    </w:pPr>
  </w:style>
  <w:style w:type="paragraph" w:styleId="72">
    <w:name w:val="toc 2"/>
    <w:basedOn w:val="1"/>
    <w:next w:val="1"/>
    <w:qFormat/>
    <w:uiPriority w:val="0"/>
    <w:pPr>
      <w:ind w:left="420" w:leftChars="200"/>
    </w:pPr>
  </w:style>
  <w:style w:type="paragraph" w:styleId="73">
    <w:name w:val="toc 4"/>
    <w:basedOn w:val="1"/>
    <w:next w:val="1"/>
    <w:qFormat/>
    <w:uiPriority w:val="0"/>
    <w:pPr>
      <w:ind w:left="1260" w:leftChars="600"/>
    </w:pPr>
  </w:style>
  <w:style w:type="paragraph" w:styleId="74">
    <w:name w:val="toc 5"/>
    <w:basedOn w:val="1"/>
    <w:next w:val="1"/>
    <w:qFormat/>
    <w:uiPriority w:val="0"/>
    <w:pPr>
      <w:ind w:left="1680" w:leftChars="800"/>
    </w:pPr>
  </w:style>
  <w:style w:type="paragraph" w:styleId="75">
    <w:name w:val="Note Heading"/>
    <w:basedOn w:val="1"/>
    <w:next w:val="1"/>
    <w:qFormat/>
    <w:uiPriority w:val="0"/>
  </w:style>
  <w:style w:type="paragraph" w:styleId="76">
    <w:name w:val="Date"/>
    <w:basedOn w:val="1"/>
    <w:next w:val="1"/>
    <w:qFormat/>
    <w:uiPriority w:val="0"/>
  </w:style>
  <w:style w:type="paragraph" w:styleId="77">
    <w:name w:val="List Bullet 5"/>
    <w:basedOn w:val="1"/>
    <w:qFormat/>
    <w:uiPriority w:val="0"/>
    <w:pPr>
      <w:numPr>
        <w:ilvl w:val="0"/>
        <w:numId w:val="4"/>
      </w:numPr>
    </w:pPr>
  </w:style>
  <w:style w:type="paragraph" w:styleId="78">
    <w:name w:val="Body Text First Indent"/>
    <w:basedOn w:val="3"/>
    <w:qFormat/>
    <w:uiPriority w:val="0"/>
    <w:pPr>
      <w:ind w:firstLine="210"/>
    </w:pPr>
  </w:style>
  <w:style w:type="paragraph" w:styleId="79">
    <w:name w:val="Body Text First Indent 2"/>
    <w:basedOn w:val="80"/>
    <w:qFormat/>
    <w:uiPriority w:val="0"/>
    <w:pPr>
      <w:ind w:firstLine="210"/>
    </w:pPr>
  </w:style>
  <w:style w:type="paragraph" w:styleId="80">
    <w:name w:val="Body Text Indent"/>
    <w:basedOn w:val="1"/>
    <w:qFormat/>
    <w:uiPriority w:val="0"/>
    <w:pPr>
      <w:spacing w:after="120"/>
      <w:ind w:left="360"/>
    </w:pPr>
  </w:style>
  <w:style w:type="paragraph" w:styleId="81">
    <w:name w:val="List Bullet 4"/>
    <w:basedOn w:val="1"/>
    <w:qFormat/>
    <w:uiPriority w:val="0"/>
    <w:pPr>
      <w:numPr>
        <w:ilvl w:val="0"/>
        <w:numId w:val="5"/>
      </w:numPr>
    </w:pPr>
  </w:style>
  <w:style w:type="paragraph" w:styleId="82">
    <w:name w:val="List Bullet"/>
    <w:basedOn w:val="1"/>
    <w:qFormat/>
    <w:uiPriority w:val="0"/>
    <w:pPr>
      <w:numPr>
        <w:ilvl w:val="0"/>
        <w:numId w:val="6"/>
      </w:numPr>
    </w:pPr>
  </w:style>
  <w:style w:type="paragraph" w:styleId="83">
    <w:name w:val="List Bullet 2"/>
    <w:basedOn w:val="1"/>
    <w:qFormat/>
    <w:uiPriority w:val="0"/>
    <w:pPr>
      <w:numPr>
        <w:ilvl w:val="0"/>
        <w:numId w:val="7"/>
      </w:numPr>
    </w:pPr>
  </w:style>
  <w:style w:type="paragraph" w:styleId="84">
    <w:name w:val="List Bullet 3"/>
    <w:basedOn w:val="1"/>
    <w:qFormat/>
    <w:uiPriority w:val="0"/>
    <w:pPr>
      <w:numPr>
        <w:ilvl w:val="0"/>
        <w:numId w:val="8"/>
      </w:numPr>
    </w:pPr>
  </w:style>
  <w:style w:type="paragraph" w:styleId="85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Ascii" w:hAnsiTheme="majorAscii" w:eastAsiaTheme="majorEastAsia" w:cstheme="majorBidi"/>
      <w:b/>
      <w:bCs/>
      <w:color w:val="000000" w:themeColor="text1"/>
      <w:sz w:val="36"/>
      <w:szCs w:val="36"/>
      <w:lang w:eastAsia="en-US"/>
      <w14:textFill>
        <w14:solidFill>
          <w14:schemeClr w14:val="tx1"/>
        </w14:solidFill>
      </w14:textFill>
    </w:rPr>
  </w:style>
  <w:style w:type="paragraph" w:styleId="86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styleId="87">
    <w:name w:val="List Number"/>
    <w:basedOn w:val="1"/>
    <w:qFormat/>
    <w:uiPriority w:val="0"/>
    <w:pPr>
      <w:numPr>
        <w:ilvl w:val="0"/>
        <w:numId w:val="9"/>
      </w:numPr>
    </w:pPr>
  </w:style>
  <w:style w:type="paragraph" w:styleId="88">
    <w:name w:val="List Number 2"/>
    <w:basedOn w:val="1"/>
    <w:qFormat/>
    <w:uiPriority w:val="0"/>
    <w:pPr>
      <w:numPr>
        <w:ilvl w:val="0"/>
        <w:numId w:val="10"/>
      </w:numPr>
    </w:pPr>
  </w:style>
  <w:style w:type="paragraph" w:styleId="89">
    <w:name w:val="List"/>
    <w:basedOn w:val="1"/>
    <w:qFormat/>
    <w:uiPriority w:val="0"/>
    <w:pPr>
      <w:ind w:left="360" w:hanging="360"/>
    </w:pPr>
  </w:style>
  <w:style w:type="paragraph" w:styleId="90">
    <w:name w:val="Normal (Web)"/>
    <w:basedOn w:val="1"/>
    <w:qFormat/>
    <w:uiPriority w:val="0"/>
    <w:rPr>
      <w:sz w:val="24"/>
      <w:szCs w:val="24"/>
    </w:rPr>
  </w:style>
  <w:style w:type="paragraph" w:styleId="91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92">
    <w:name w:val="Body Text Indent 2"/>
    <w:basedOn w:val="1"/>
    <w:qFormat/>
    <w:uiPriority w:val="0"/>
    <w:pPr>
      <w:spacing w:after="120" w:line="480" w:lineRule="auto"/>
      <w:ind w:left="360"/>
    </w:pPr>
  </w:style>
  <w:style w:type="paragraph" w:styleId="93">
    <w:name w:val="Subtitle"/>
    <w:basedOn w:val="1"/>
    <w:qFormat/>
    <w:uiPriority w:val="0"/>
    <w:pPr>
      <w:spacing w:after="60"/>
      <w:jc w:val="center"/>
      <w:outlineLvl w:val="1"/>
    </w:pPr>
    <w:rPr>
      <w:rFonts w:ascii="Arial" w:hAnsi="Arial" w:cs="Arial"/>
      <w:sz w:val="24"/>
      <w:szCs w:val="24"/>
    </w:rPr>
  </w:style>
  <w:style w:type="paragraph" w:styleId="94">
    <w:name w:val="Signature"/>
    <w:basedOn w:val="1"/>
    <w:qFormat/>
    <w:uiPriority w:val="0"/>
    <w:pPr>
      <w:ind w:left="4320"/>
    </w:pPr>
  </w:style>
  <w:style w:type="paragraph" w:styleId="95">
    <w:name w:val="Salutation"/>
    <w:basedOn w:val="1"/>
    <w:next w:val="1"/>
    <w:qFormat/>
    <w:uiPriority w:val="0"/>
  </w:style>
  <w:style w:type="paragraph" w:styleId="96">
    <w:name w:val="List Continue 2"/>
    <w:basedOn w:val="1"/>
    <w:qFormat/>
    <w:uiPriority w:val="0"/>
    <w:pPr>
      <w:spacing w:after="120"/>
      <w:ind w:left="720"/>
    </w:pPr>
  </w:style>
  <w:style w:type="paragraph" w:styleId="97">
    <w:name w:val="List Continue 3"/>
    <w:basedOn w:val="1"/>
    <w:qFormat/>
    <w:uiPriority w:val="0"/>
    <w:pPr>
      <w:spacing w:after="120"/>
      <w:ind w:left="1080"/>
    </w:pPr>
  </w:style>
  <w:style w:type="paragraph" w:styleId="98">
    <w:name w:val="List Continue 4"/>
    <w:basedOn w:val="1"/>
    <w:qFormat/>
    <w:uiPriority w:val="0"/>
    <w:pPr>
      <w:spacing w:after="120"/>
      <w:ind w:left="1440"/>
    </w:pPr>
  </w:style>
  <w:style w:type="paragraph" w:styleId="99">
    <w:name w:val="List Continue 5"/>
    <w:basedOn w:val="1"/>
    <w:qFormat/>
    <w:uiPriority w:val="0"/>
    <w:pPr>
      <w:spacing w:after="120"/>
      <w:ind w:left="1800"/>
    </w:pPr>
  </w:style>
  <w:style w:type="paragraph" w:styleId="100">
    <w:name w:val="List 2"/>
    <w:basedOn w:val="1"/>
    <w:qFormat/>
    <w:uiPriority w:val="0"/>
    <w:pPr>
      <w:ind w:left="720" w:hanging="360"/>
    </w:pPr>
  </w:style>
  <w:style w:type="paragraph" w:styleId="101">
    <w:name w:val="List 3"/>
    <w:basedOn w:val="1"/>
    <w:qFormat/>
    <w:uiPriority w:val="0"/>
    <w:pPr>
      <w:ind w:left="1080" w:hanging="360"/>
    </w:pPr>
  </w:style>
  <w:style w:type="paragraph" w:styleId="102">
    <w:name w:val="List 4"/>
    <w:basedOn w:val="1"/>
    <w:qFormat/>
    <w:uiPriority w:val="0"/>
    <w:pPr>
      <w:ind w:left="1440" w:hanging="360"/>
    </w:pPr>
  </w:style>
  <w:style w:type="paragraph" w:styleId="103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paragraph" w:styleId="104">
    <w:name w:val="Block Text"/>
    <w:basedOn w:val="1"/>
    <w:qFormat/>
    <w:uiPriority w:val="0"/>
    <w:pPr>
      <w:spacing w:after="120"/>
      <w:ind w:left="1440" w:right="1440"/>
    </w:pPr>
  </w:style>
  <w:style w:type="paragraph" w:styleId="105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hanging="1080"/>
    </w:pPr>
    <w:rPr>
      <w:rFonts w:ascii="Arial" w:hAnsi="Arial" w:cs="Arial"/>
      <w:sz w:val="24"/>
      <w:szCs w:val="24"/>
    </w:rPr>
  </w:style>
  <w:style w:type="paragraph" w:styleId="106">
    <w:name w:val="E-mail Signature"/>
    <w:basedOn w:val="1"/>
    <w:qFormat/>
    <w:uiPriority w:val="0"/>
  </w:style>
  <w:style w:type="table" w:styleId="107">
    <w:name w:val="Table Colorful 2"/>
    <w:basedOn w:val="13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8">
    <w:name w:val="Table Grid 2"/>
    <w:basedOn w:val="13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9">
    <w:name w:val="Table Subtle 1"/>
    <w:basedOn w:val="13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0">
    <w:name w:val="Table Theme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1">
    <w:name w:val="Table Web 3"/>
    <w:basedOn w:val="13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2">
    <w:name w:val="Table Grid 6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13">
    <w:name w:val="Table Simple 1"/>
    <w:basedOn w:val="13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4">
    <w:name w:val="Table Grid 1"/>
    <w:basedOn w:val="13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5">
    <w:name w:val="Table 3D effects 2"/>
    <w:basedOn w:val="13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6">
    <w:name w:val="Table List 5"/>
    <w:basedOn w:val="13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7">
    <w:name w:val="Table Classic 4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8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9">
    <w:name w:val="Table Classic 1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6" w:space="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0">
    <w:name w:val="Table Grid 5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21">
    <w:name w:val="Table 3D effects 3"/>
    <w:basedOn w:val="13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2">
    <w:name w:val="Table Columns 3"/>
    <w:basedOn w:val="13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3">
    <w:name w:val="Table Columns 4"/>
    <w:basedOn w:val="13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24">
    <w:name w:val="Table Classic 3"/>
    <w:basedOn w:val="13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5">
    <w:name w:val="Table Professional"/>
    <w:basedOn w:val="13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26">
    <w:name w:val="Table Elegant"/>
    <w:basedOn w:val="13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7">
    <w:name w:val="Table Colorful 1"/>
    <w:basedOn w:val="13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8">
    <w:name w:val="Table List 3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9">
    <w:name w:val="Table Web 2"/>
    <w:basedOn w:val="13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0">
    <w:name w:val="Table List 7"/>
    <w:basedOn w:val="13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top w:val="nil"/>
          <w:left w:val="single" w:color="008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131">
    <w:name w:val="Table Contemporary"/>
    <w:basedOn w:val="13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132">
    <w:name w:val="Table List 6"/>
    <w:basedOn w:val="13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</w:style>
  <w:style w:type="table" w:styleId="133">
    <w:name w:val="Table Grid 4"/>
    <w:basedOn w:val="13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4">
    <w:name w:val="Table Columns 1"/>
    <w:basedOn w:val="13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top w:val="nil"/>
          <w:left w:val="doub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5">
    <w:name w:val="Table List 8"/>
    <w:basedOn w:val="13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</w:style>
  <w:style w:type="table" w:styleId="136">
    <w:name w:val="Table Grid 3"/>
    <w:basedOn w:val="13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7">
    <w:name w:val="Table Subtle 2"/>
    <w:basedOn w:val="13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8">
    <w:name w:val="Table List 4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139">
    <w:name w:val="Table List 1"/>
    <w:basedOn w:val="13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0">
    <w:name w:val="Table Web 1"/>
    <w:basedOn w:val="13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1">
    <w:name w:val="Table Colorful 3"/>
    <w:basedOn w:val="13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top w:val="nil"/>
          <w:left w:val="nil"/>
          <w:bottom w:val="single" w:color="000000" w:sz="36" w:space="0"/>
          <w:right w:val="single" w:color="000000" w:sz="6" w:space="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42">
    <w:name w:val="Table Columns 5"/>
    <w:basedOn w:val="13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43">
    <w:name w:val="Table Classic 2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4">
    <w:name w:val="Table Grid 7"/>
    <w:basedOn w:val="13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45">
    <w:name w:val="Table 3D effects 1"/>
    <w:basedOn w:val="13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FFFFFF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6">
    <w:name w:val="Table Columns 2"/>
    <w:basedOn w:val="13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7">
    <w:name w:val="Table Simple 2"/>
    <w:basedOn w:val="13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8">
    <w:name w:val="Table Simple 3"/>
    <w:basedOn w:val="13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49">
    <w:name w:val="Table Grid 8"/>
    <w:basedOn w:val="13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50">
    <w:name w:val="Table List 2"/>
    <w:basedOn w:val="13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51">
    <w:name w:val="Заголовок 2 Знак"/>
    <w:basedOn w:val="12"/>
    <w:link w:val="4"/>
    <w:qFormat/>
    <w:uiPriority w:val="9"/>
    <w:rPr>
      <w:rFonts w:asciiTheme="majorAscii" w:hAnsiTheme="majorAscii" w:eastAsiaTheme="majorEastAsia" w:cstheme="majorBidi"/>
      <w:b/>
      <w:color w:val="5B9BD5" w:themeColor="accent1"/>
      <w:sz w:val="28"/>
      <w:szCs w:val="28"/>
      <w:lang w:val="ru-RU" w:eastAsia="en-US"/>
      <w14:textFill>
        <w14:solidFill>
          <w14:schemeClr w14:val="accent1"/>
        </w14:solidFill>
      </w14:textFill>
    </w:rPr>
  </w:style>
  <w:style w:type="character" w:customStyle="1" w:styleId="152">
    <w:name w:val="Body Text Char"/>
    <w:basedOn w:val="12"/>
    <w:link w:val="3"/>
    <w:qFormat/>
    <w:uiPriority w:val="0"/>
    <w:rPr>
      <w:rFonts w:asciiTheme="minorAscii" w:hAnsiTheme="minorAscii" w:eastAsiaTheme="minorEastAsia"/>
      <w:szCs w:val="24"/>
      <w:lang w:eastAsia="en-US"/>
    </w:rPr>
  </w:style>
  <w:style w:type="paragraph" w:customStyle="1" w:styleId="153">
    <w:name w:val="Image Caption"/>
    <w:basedOn w:val="42"/>
    <w:qFormat/>
    <w:uiPriority w:val="0"/>
    <w:pPr>
      <w:jc w:val="both"/>
    </w:pPr>
    <w:rPr>
      <w:rFonts w:asciiTheme="minorAscii" w:hAnsiTheme="minorAscii" w:eastAsiaTheme="minorEastAsia" w:cstheme="minorBidi"/>
      <w:i/>
      <w:sz w:val="20"/>
      <w:szCs w:val="24"/>
      <w:lang w:eastAsia="en-US"/>
    </w:rPr>
  </w:style>
  <w:style w:type="paragraph" w:customStyle="1" w:styleId="154">
    <w:name w:val="Table"/>
    <w:basedOn w:val="1"/>
    <w:next w:val="1"/>
    <w:qFormat/>
    <w:uiPriority w:val="0"/>
    <w:pPr>
      <w:spacing w:before="36" w:after="36"/>
    </w:pPr>
    <w:rPr>
      <w:rFonts w:ascii="Times New Roman" w:hAnsi="Times New Roman" w:cs="Times New Roman" w:eastAsiaTheme="minorEastAsia"/>
      <w:sz w:val="16"/>
      <w:szCs w:val="16"/>
      <w:lang w:val="ru-RU"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64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2025-11-25T13:49:00Z</dcterms:created>
  <dc:creator>google1599737165</dc:creator>
  <cp:lastModifiedBy>google1599737165</cp:lastModifiedBy>
  <dcterms:modified xsi:type="dcterms:W3CDTF">2025-11-26T09:45:33Z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223962485F574EE58E78BC49ED4409CC_11</vt:lpwstr>
  </property>
</Properties>
</file>