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Nf,kb</w:t>
      </w:r>
      <w:r>
        <w:t xml:space="preserve"> </w:t>
      </w:r>
      <w:r>
        <w:t xml:space="preserve">для</w:t>
      </w:r>
      <w:r>
        <w:t xml:space="preserve"> </w:t>
      </w:r>
      <w:r>
        <w:t xml:space="preserve">статьи</w:t>
      </w:r>
    </w:p>
    <w:bookmarkStart w:id="21" w:name="динамика-паразитемии"/>
    <w:p>
      <w:pPr>
        <w:pStyle w:val="Heading2"/>
      </w:pPr>
      <w:r>
        <w:t xml:space="preserve">Динамика паразитемии</w:t>
      </w:r>
    </w:p>
    <w:p>
      <w:pPr>
        <w:pStyle w:val="FirstParagraph"/>
      </w:pPr>
      <w:r>
        <w:t xml:space="preserve">Table ++. GAM parameters characterizing the course of parasetemia after parasite inoculation.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Lineage(GRW2)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s(DPI):SGS1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234.997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s(DPI):GRW2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factor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bookmarkStart w:id="20" w:name="описание-модели"/>
    <w:p>
      <w:pPr>
        <w:pStyle w:val="Heading3"/>
      </w:pPr>
      <w:r>
        <w:t xml:space="preserve">Описание модели</w:t>
      </w:r>
    </w:p>
    <w:p>
      <w:pPr>
        <w:pStyle w:val="FirstParagraph"/>
      </w:pPr>
      <w:r>
        <w:t xml:space="preserve">Table +++. GAM parameters characterizing the course of RMR after parasite inoculation.</w:t>
      </w:r>
      <w:r>
        <w:t xml:space="preserve"> </w:t>
      </w:r>
      <w:r>
        <w:t xml:space="preserve">Parametric terms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was taken as reference level for the factor</w:t>
      </w:r>
      <w:r>
        <w:t xml:space="preserve"> </w:t>
      </w:r>
      <w:r>
        <w:t xml:space="preserve">“</w:t>
      </w:r>
      <w:r>
        <w:t xml:space="preserve">Group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Lineage(SGS1)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Lineage(GRW2)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log10(Mass)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s(DPI):SGS1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s(DPI):GRW2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factor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bookmarkEnd w:id="20"/>
    <w:bookmarkEnd w:id="21"/>
    <w:bookmarkStart w:id="22" w:name="динамика-интрелейкина"/>
    <w:p>
      <w:pPr>
        <w:pStyle w:val="Heading2"/>
      </w:pPr>
      <w:r>
        <w:t xml:space="preserve">Динамика интрелейкина</w:t>
      </w:r>
    </w:p>
    <w:p>
      <w:pPr>
        <w:pStyle w:val="FirstParagraph"/>
      </w:pPr>
      <w:r>
        <w:t xml:space="preserve">Table +++. GAM parameters characterizing the course of IL-6 concentration after parasite inoculation.</w:t>
      </w:r>
      <w:r>
        <w:t xml:space="preserve"> </w:t>
      </w:r>
      <w:r>
        <w:t xml:space="preserve">Parametric terms.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was taken as reference level for the factor</w:t>
      </w:r>
      <w:r>
        <w:t xml:space="preserve"> </w:t>
      </w:r>
      <w:r>
        <w:t xml:space="preserve">“</w:t>
      </w:r>
      <w:r>
        <w:t xml:space="preserve">Group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Lineage(SGS1)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Lineage(GRW2)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s(DPI):SGS1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s(DPI):GRW2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factor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Nf,kb для статьи</dc:title>
  <dc:creator/>
  <cp:keywords/>
  <dcterms:created xsi:type="dcterms:W3CDTF">2024-03-19T10:51:23Z</dcterms:created>
  <dcterms:modified xsi:type="dcterms:W3CDTF">2024-03-19T10:51:23Z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