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ascii="Helvetica" w:hAnsi="Helvetica" w:eastAsia="Helvetica" w:cs="Helvetica"/>
          <w:i w:val="0"/>
          <w:caps w:val="0"/>
          <w:color w:val="262626"/>
          <w:spacing w:val="0"/>
          <w:sz w:val="19"/>
          <w:szCs w:val="19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FF"/>
        </w:rPr>
        <w:t>Мы работали по всем заявленным направлениям, и получили </w:t>
      </w:r>
      <w:r>
        <w:rPr>
          <w:rFonts w:hint="default" w:ascii="Times New Roman" w:hAnsi="Times New Roman" w:eastAsia="Helvetica" w:cs="Times New Roman"/>
          <w:i w:val="0"/>
          <w:caps w:val="0"/>
          <w:color w:val="262626"/>
          <w:spacing w:val="0"/>
          <w:sz w:val="24"/>
          <w:szCs w:val="24"/>
          <w:shd w:val="clear" w:fill="FFFFFF"/>
        </w:rPr>
        <w:t>по всем </w:t>
      </w:r>
      <w: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FF"/>
        </w:rPr>
        <w:t>из них удовлетворительные результаты. На итоги повлияли следующие обстоятельства. Не было возможности провести запланированный лов моллюсков и сельдей в Белом море в мае-июне, в частности выполнить пункт 3.2 – провести лов весенне- и летне- нерестящихся сельдей (расы C. pallasii) на нерестилищах в Кандалакшском заливе. Работы по сбору моллюсков в Белом и Баренцевом морях были проведены в июле-сентябре. К сожалению, в это время наши объекты были в посленерестовом состоянии. Это лишило нас возможности определять пол животных, соответственно судить о нарушениях двоякого однородительского наследования (DUI) митохондрий. Отменились поездки на научные мероприятия, которые должны были быть совмещены с переговорами с иностранными коллегами, обменом с ними коллекциями, и сбором материала. В частности, мы не смогли добыть мидий с тихоокеанского побережья Канады, болеющих, как считается, эндемичной линией СТС </w:t>
      </w:r>
      <w: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FF"/>
          <w:lang w:val="en-US"/>
        </w:rPr>
        <w:t>BTN</w:t>
      </w:r>
      <w: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FF"/>
        </w:rPr>
        <w:t>1. Вместо недоступных Канадских мидий мы занялись мидиями из Охотского моря, и, паче чаяния, нашли у них рак. Вышли обзор о лейкемии у двустворчатых моллюсков (</w:t>
      </w:r>
      <w: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FF"/>
          <w:lang w:val="en-US"/>
        </w:rPr>
        <w:t>Odintsova</w:t>
      </w:r>
      <w: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FF"/>
        </w:rPr>
        <w:t>, 2020) и статьи с иностранными коллегами о вторичных контактах у амфибореальных таксонов (</w:t>
      </w:r>
      <w: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FF"/>
          <w:lang w:val="en-US"/>
        </w:rPr>
        <w:t>Laakkonen et al</w:t>
      </w:r>
      <w: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FF"/>
        </w:rPr>
        <w:t>. 2020), о геногеографии  мидий видового комплекса </w:t>
      </w:r>
      <w: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FF"/>
          <w:lang w:val="en-US"/>
        </w:rPr>
        <w:t>Mytilus edulis </w:t>
      </w:r>
      <w: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FF"/>
        </w:rPr>
        <w:t>и паттернах интрогрессии (</w:t>
      </w:r>
      <w: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FF"/>
          <w:lang w:val="en-US"/>
        </w:rPr>
        <w:t>Simon et al</w:t>
      </w:r>
      <w: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FF"/>
        </w:rPr>
        <w:t>. 2020) и гибридизации (</w:t>
      </w:r>
      <w: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FF"/>
          <w:lang w:val="en-US"/>
        </w:rPr>
        <w:t>Wenne et al</w:t>
      </w:r>
      <w: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FF"/>
        </w:rPr>
        <w:t>. 2020) между видами. Мы также подготовили, сугубо от нашего коллектива, рукописи статей об открытии СТС у мидий из Японского моря и о теоретических подходах к определению видопринадлежности особей у криптических и гибридизующих видов в симпатрии. Этими статьями мы рассчитываем отчитаться в следующем году.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FF"/>
        </w:rPr>
        <w:t>1.3. На примере коллекционных сборов сельдей из норвежских фиордов Россфиорд,  Балсфиорд (согласно гипотезе, реликтовые формы Clupea pallasii), Трондхеймфиорд (локальная раса норвежской весенненерестующей C. harengus) и беломорской C. pallasii из Кагдалакшского залива отработаны методы микросателлитного генотипирования по 10 локусам. По пяти локусам получены популяционные данные. </w:t>
      </w:r>
      <w: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00"/>
        </w:rPr>
        <w:t>Рис. 1.3.1</w:t>
      </w:r>
      <w: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FF"/>
        </w:rPr>
        <w:t> позволяет судить о сходстве/различиях между выборками по этим признакам. Есть изменчивость в группировке выборок по разным локусам, что отчасти может быть связано с небольшим объемом материала и высокой изменчивостью. Комплексный анализ выявляет различия между референсной выборкой C. harengus и тремя другими выборками, что согласуется с гипотезой о видопринадлежности сельдей Россфиорда и Балсфиорда.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FF"/>
        </w:rPr>
        <w:t>На примере выборки мидий из популяции Гасейд, где, согласно предварительным данным,  намешаны гены сразу трех видов (</w:t>
      </w:r>
      <w: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FF"/>
          <w:lang w:val="en-US"/>
        </w:rPr>
        <w:t>M</w:t>
      </w:r>
      <w: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FF"/>
        </w:rPr>
        <w:t>. </w:t>
      </w:r>
      <w: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FF"/>
          <w:lang w:val="en-US"/>
        </w:rPr>
        <w:t>edulis</w:t>
      </w:r>
      <w: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FF"/>
        </w:rPr>
        <w:t>, </w:t>
      </w:r>
      <w: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FF"/>
          <w:lang w:val="en-US"/>
        </w:rPr>
        <w:t>M</w:t>
      </w:r>
      <w: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FF"/>
        </w:rPr>
        <w:t>. </w:t>
      </w:r>
      <w: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FF"/>
          <w:lang w:val="en-US"/>
        </w:rPr>
        <w:t>trossulus</w:t>
      </w:r>
      <w: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FF"/>
        </w:rPr>
        <w:t>, </w:t>
      </w:r>
      <w: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FF"/>
          <w:lang w:val="en-US"/>
        </w:rPr>
        <w:t>M</w:t>
      </w:r>
      <w: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FF"/>
        </w:rPr>
        <w:t>. </w:t>
      </w:r>
      <w: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FF"/>
          <w:lang w:val="en-US"/>
        </w:rPr>
        <w:t>galloprovincialis</w:t>
      </w:r>
      <w: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FF"/>
        </w:rPr>
        <w:t>, </w:t>
      </w:r>
      <w: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FF"/>
          <w:lang w:val="en-US"/>
        </w:rPr>
        <w:t>Simon et al</w:t>
      </w:r>
      <w: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FF"/>
        </w:rPr>
        <w:t>. 2019, см. публикации проекта) отработаны методы типирования моллюсков методом </w:t>
      </w:r>
      <w: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FF"/>
          <w:lang w:val="en-US"/>
        </w:rPr>
        <w:t>KASP</w:t>
      </w:r>
      <w: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FF"/>
        </w:rPr>
        <w:t>. Выборка включала контрольных особей, независимо генотипированых авторами метода во Франции. Всего, отрабатывалось 15 биаллельных маркеров, из которых 5 отличают M. edulis, 5 - M. trossulus и 5 - M. galloprovincialis. Генотипирование было успешным в 99% экспериментов. Разночтения в результатах, полученных в разных лабораториях, были 5%, что соответствует заявленной погрешности KASP. </w:t>
      </w:r>
      <w: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00"/>
        </w:rPr>
        <w:t>Рис. 1.3.2</w:t>
      </w:r>
      <w: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FF"/>
        </w:rPr>
        <w:t> позволяет судить о структуре выборки Гасейд, которую мы интерпретируем как результат гибридизации и смещения трех линий мидий - M. edulis, M. trossulus и особой «гибридогенной» линии M. galloprovincialis, характеризующейся повышенной частотой интрогрессированных генов M. edulis.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0"/>
          <w:sz w:val="19"/>
          <w:szCs w:val="19"/>
          <w:shd w:val="clear" w:fill="FFFFFF"/>
        </w:rPr>
        <w:t>Результаты.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0"/>
          <w:sz w:val="19"/>
          <w:szCs w:val="19"/>
          <w:shd w:val="clear" w:fill="FFFFFF"/>
        </w:rPr>
        <w:t>Освоены методы микросателлитного анализа морских сельдей (Clupea pallasii, C. harengus) и </w:t>
      </w: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0"/>
          <w:sz w:val="19"/>
          <w:szCs w:val="19"/>
          <w:shd w:val="clear" w:fill="FFFFFF"/>
          <w:lang w:val="en-US"/>
        </w:rPr>
        <w:t>SNP</w:t>
      </w: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0"/>
          <w:sz w:val="19"/>
          <w:szCs w:val="19"/>
          <w:shd w:val="clear" w:fill="FFFFFF"/>
        </w:rPr>
        <w:t>-типирования мидий. Популяции сельдей норвежских фиордов Россфиорд и Балсфиорд  оказались сходны с беломорской сельдью (C. pallasii), а не обычной норвежской C. harengus. Это согласуется с гипотезой о том, что сельди Россфиорда и Балсфиорда - реликтовые формы тихоокеанской сельди C. pallasii.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0"/>
          <w:sz w:val="19"/>
          <w:szCs w:val="19"/>
          <w:shd w:val="clear" w:fill="FFFFFF"/>
        </w:rPr>
        <w:t>По 19 маркерам, включая 15 однонуклеотидных, отработаны методы молекулярной идентификации всех трех видов мидий, встречающихся в северной Атлантике (M</w:t>
      </w: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0"/>
          <w:sz w:val="19"/>
          <w:szCs w:val="19"/>
          <w:shd w:val="clear" w:fill="FFFFFF"/>
          <w:lang w:val="en-US"/>
        </w:rPr>
        <w:t>ytilus</w:t>
      </w: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0"/>
          <w:sz w:val="19"/>
          <w:szCs w:val="19"/>
          <w:shd w:val="clear" w:fill="FFFFFF"/>
        </w:rPr>
        <w:t> edulis, M. trossulus, M. galloprovincialis) и межвидовых гибридов. На этих данных охарактеризована своеобразная «арктическая» линия M. galloprovincialis (одного из важнейших инвазивный видов на земле (</w:t>
      </w:r>
      <w:r>
        <w:rPr>
          <w:rFonts w:hint="default" w:ascii="Helvetica" w:hAnsi="Helvetica" w:eastAsia="Helvetica" w:cs="Helvetica"/>
          <w:b/>
          <w:i w:val="0"/>
          <w:caps w:val="0"/>
          <w:color w:val="315EFB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315EFB"/>
          <w:spacing w:val="0"/>
          <w:sz w:val="19"/>
          <w:szCs w:val="19"/>
          <w:u w:val="none"/>
          <w:shd w:val="clear" w:fill="FFFFFF"/>
        </w:rPr>
        <w:instrText xml:space="preserve"> HYPERLINK "http://www.issg.org/worst100_species.html" \t "https://mail.rambler.ru/folder/INBOX/INBOX_73595/_blank" </w:instrText>
      </w:r>
      <w:r>
        <w:rPr>
          <w:rFonts w:hint="default" w:ascii="Helvetica" w:hAnsi="Helvetica" w:eastAsia="Helvetica" w:cs="Helvetica"/>
          <w:b/>
          <w:i w:val="0"/>
          <w:caps w:val="0"/>
          <w:color w:val="315EFB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315EFB"/>
          <w:spacing w:val="0"/>
          <w:sz w:val="19"/>
          <w:szCs w:val="19"/>
          <w:u w:val="none"/>
          <w:shd w:val="clear" w:fill="FFFFFF"/>
        </w:rPr>
        <w:t>http://www.issg.org/worst100_species.html</w:t>
      </w:r>
      <w:r>
        <w:rPr>
          <w:rFonts w:hint="default" w:ascii="Helvetica" w:hAnsi="Helvetica" w:eastAsia="Helvetica" w:cs="Helvetica"/>
          <w:b/>
          <w:i w:val="0"/>
          <w:caps w:val="0"/>
          <w:color w:val="315EFB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0"/>
          <w:sz w:val="19"/>
          <w:szCs w:val="19"/>
          <w:shd w:val="clear" w:fill="FFFFFF"/>
        </w:rPr>
        <w:t>), угрожающая северным морям России, и описана структура выборки из уникальной гибридной зоны в Норвжском море, где со-существуют и гибридизуют все три вида мидий.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</w:rPr>
      </w:pPr>
      <w:r>
        <w:rPr>
          <w:rFonts w:hint="default" w:ascii="Times New Roman" w:hAnsi="Times New Roman" w:eastAsia="Helvetica" w:cs="Times New Roman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2.1. Секвенированы транскриптомы Macoma petalum («аутгруппа» для изучения комплекса M. balthica, недавно переименованного в Limecola balthica) и L. cf. balthica из Владивостока, Баренцева и Балтийского морей. Вместе с изученными ранее особями, объем выборки, пригодной для популяционно-генетического анализа, составил 117 особей. 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00"/>
          <w:lang w:val="en-US" w:eastAsia="zh-CN" w:bidi="ar"/>
        </w:rPr>
        <w:t>Рис. 2.1.1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00"/>
          <w:lang w:val="en-US" w:eastAsia="zh-CN" w:bidi="ar"/>
        </w:rPr>
        <w:t>и 2.1.2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 позволяют судить о паттернах гибридизации между тихоокеанским- инвазивным видом L. balthica и аборигенным атлантическим L. rubra в трех районах Атлантики, где обнаружен L. balthica (гены этого вида) и его гибридизация  с L. rubra. Это Балтийское море, ЮВ Баренцева моря (в нашем материале – Мурман) и Белое море. Если сравнивать изменчивость по вкладу «тихоокеанских» и «атлантических» генов в генотипы (положение точек относительно PC1 на графиках ординации, либо отношение секторов на диаграмме Structure при к=2) внутри и между выборок из разных пространственных выделов, то выявляются следующие тенденции. В Балтике, по мере продвижения от Датских проливов к северной части моря снижается вклад «атлантических» генов (с 60 % до 30% по Structure) и митохондрий в выборках, и снижается межиндивидуальная изменчивость внутри выборок. Сходная тенденция выявляется на Мурмане при сравнении выборок с западного (средний вклад по Structure 75%) и восточного (65%) районов побережья (без учета популяции морского изолята оз. Могильного, где низка доля «атлантических» генов, 46%, и фиксированы «тихоокеанские» митохондрии). В популяциях разных заливов Белого моря частоты «атлантических» генов варьируются от 5% до 95% при минимальной межиндивидуальной изменчивости. Сверх этого выявляются различия между популяциями трех морей, напрямую не сводимые к соотношению «атлантических» и «тихоокеанских» генов в генотипах. Особенно оригинальны мурманские популяции. Другой важный результат – гетероплазмики по митохондриям L. balthica и L. rubra в выборках из Гданьского залива и некоторых мурманских популяций.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0"/>
          <w:sz w:val="19"/>
          <w:szCs w:val="19"/>
          <w:shd w:val="clear" w:fill="FFFFFF"/>
        </w:rPr>
        <w:t>Результаты. По мультилокусным данным (больше тысячи несцепленных </w:t>
      </w: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0"/>
          <w:sz w:val="19"/>
          <w:szCs w:val="19"/>
          <w:shd w:val="clear" w:fill="FFFFFF"/>
          <w:lang w:val="en-US"/>
        </w:rPr>
        <w:t>SNP</w:t>
      </w: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0"/>
          <w:sz w:val="19"/>
          <w:szCs w:val="19"/>
          <w:shd w:val="clear" w:fill="FFFFFF"/>
        </w:rPr>
        <w:t> маркеров, выявленных в транскриптомах) изучены паттерны гибридизации и интрогрессии в двух географически удаленных гибридных зонах между  Limecola balthica и L. rubra в Балтийском и в Баренцевом морях. Результаты согласуются с нашей моделью, постулированной ранее: гибридные рои (низкая межиндивидуальная изменчивость по доле генов двух видов, слабый отбор против рекомбинантных генотипов) с повышенной частотой генов </w:t>
      </w: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0"/>
          <w:sz w:val="19"/>
          <w:szCs w:val="19"/>
          <w:shd w:val="clear" w:fill="FFFFFF"/>
          <w:lang w:val="en-US"/>
        </w:rPr>
        <w:t>L</w:t>
      </w: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0"/>
          <w:sz w:val="19"/>
          <w:szCs w:val="19"/>
          <w:shd w:val="clear" w:fill="FFFFFF"/>
        </w:rPr>
        <w:t>. balthica, с одной стороны, и чистопородные популяции L. rubra, с другой, разделены гибридными зонами (высокая межиндивидуальная изменчивость, сильный отбор).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shd w:val="clear" w:fill="FFFFFF"/>
        </w:rPr>
        <w:t>4.1. Проведены эксперименты по культивированию раковых и здоровых гемоцитов мидий, и по «заражению» культуры здоровых гемоцитов больными гемоцитами. Использованы гемоциты одной больной (№ 54) и одной здоровой (№ 19) мидий 2019 года сбора (г.с.) и четырех здоровых мидий 2020 г.с. В 2020 мидий собрали перед началом эксперимента. Гемоциты мидий 2019 г.с. были заморожены в 7.5% диметилсульфоксиде (ДМСО) трехступенчатым способом (Odintsova et al. 2017) и 10 месяцев хранились в дьюаре с жидким азотом. Для получения культуры, пробы гемолимфа мидий 2020 г.с. были разбавлены стерильным раствором искусственной морской воды без кальция и магния с добавлением стерильного раствора 0.3 М ЭДТА (рН 7.8) и гентамицина (50 мг/мл, Россия). Суспензию центрифугировали, трижды, в 15 мл-пробирках 10 мин при 600 g на центрифуге Allegra-200 (США), промывая осадок искусственной морской водой с гентамицином. После этого осадок ресуспендировали в стерильной морской воде, содержащей гентамицин и 2% эмбриональной бычьей сыворотки (Gibco, США). Полученные суспензии (0.45 мл; концентрация 0.67 млн клеток в миллилитре) поместили в лунки планшета для культивирования. Через сутки среду полностью сменили. Извлеченные из азота гемоциты мидий № 54 (113 тыс клеток на мл) и № 19 (44 тыс клеток на мл) разморозили и промыли, а затем добавили к культуре по 100 мкл в две разные лунки, в остальные лунки добавили стерильную морскую воду. Также, размороженные гемоциты помещали в отдельные лунки, чтобы оценить, как они перенесли заморозку (часть гемоцитов больной мидии распласталась на пластике, а часть агрегировала, - поведение, ожидаемое для гемоцитов раковых мидий). Просмотр лунок на контаминацию проводили ежедневно. Эксперимент остановили через 5 суток, когда была обнаружена  бактериальная контаминация. Содержание ДНК в клетках до и после культивирования оценивали с помощью проточного цитометра CytoFLEX (Beckman-Coulter, США). Использовали флуоресцентный краситель DAPI (Gerbu, Германия). Существенных отличий в распределении содержания ДНК в культивируемых гемоцитах в контроле и после добавления гемоцитов от мидий №19 и №54 обнаружено не было (см. рис. 4.1.1 и 4.1.2). Формулируя планы, мы подчеркивали, что эксперименты по культивированию гемоцитов - поисковая работа, потому что неизвестно, как будут себя вести в культуре гемоциты. Важнейший результат эксперимента: после 10 месяцев криохранения здоровые и неопластические гемоциты сохраняют жизнеспособность и адаптируются к условиям культуры.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0"/>
          <w:sz w:val="19"/>
          <w:szCs w:val="19"/>
          <w:shd w:val="clear" w:fill="FFFFFF"/>
        </w:rPr>
        <w:t>Проверена гипотеза индукции анеуплоидии в гемоцитах мидий за счет инкубации аномальных (опухолевых) гемоцитов с нормальными гемоцитами здоровых мидий. За пять суток культивирования индукции не произошло. В ходе экспериментов показано, что после 10 месяцев криохранения здоровые и неопластические гемоциты сохраняют жизнеспособность и адаптируются к условиям культуры.</w:t>
      </w:r>
    </w:p>
    <w:p/>
    <w:p/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lang w:val="ru-RU"/>
        </w:rPr>
        <w:t>Для</w:t>
      </w:r>
      <w:r>
        <w:rPr>
          <w:rFonts w:hint="default"/>
          <w:lang w:val="ru-RU"/>
        </w:rPr>
        <w:t xml:space="preserve"> анализа вариации морфологических характеристик мидий, существующих в условиях гибридизации, была разработана методика описания формы раковин в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соответствии с методологией геометрической морфометрии.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Мы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 использовали мидий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собранны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х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в районе города Госейд (Gåseid, Восточная Норвегия), где были представлены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моллюски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, имеющие генетические маркеры, диагносцирующие все три вида мидий комплекса “Mytilus edulis”: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21"/>
          <w:szCs w:val="21"/>
          <w:shd w:val="clear" w:fill="FFFFFF"/>
        </w:rPr>
        <w:t>M.edulis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(Ed), 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21"/>
          <w:szCs w:val="21"/>
          <w:shd w:val="clear" w:fill="FFFFFF"/>
        </w:rPr>
        <w:t>M.trossulus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(Tr) и 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21"/>
          <w:szCs w:val="21"/>
          <w:shd w:val="clear" w:fill="FFFFFF"/>
        </w:rPr>
        <w:t>M.galloprovincialis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(Ga). В качестве референсных выборок были использованы мидии, собранные в регионах, где степень гибридизации с другими видами была минимальной. 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21"/>
          <w:szCs w:val="21"/>
          <w:shd w:val="clear" w:fill="FFFFFF"/>
        </w:rPr>
        <w:t>M.trossulus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были собраны в районе г. Берген, Норвегия (далее 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21"/>
          <w:szCs w:val="21"/>
          <w:shd w:val="clear" w:fill="FFFFFF"/>
        </w:rPr>
        <w:t>Tr_ref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), 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21"/>
          <w:szCs w:val="21"/>
          <w:shd w:val="clear" w:fill="FFFFFF"/>
        </w:rPr>
        <w:t>M.edulis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в районе AR ??? (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21"/>
          <w:szCs w:val="21"/>
          <w:shd w:val="clear" w:fill="FFFFFF"/>
        </w:rPr>
        <w:t>Ed_ref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). Поскольку 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21"/>
          <w:szCs w:val="21"/>
          <w:shd w:val="clear" w:fill="FFFFFF"/>
        </w:rPr>
        <w:t>M.galloprovincialis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широко распространился по всему миру, в качестве референсных были использованы мидии из трех локаций, расположенных за пределами нативного ареала вида (Средиземноморье): из района г. Циндао, Китай (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21"/>
          <w:szCs w:val="21"/>
          <w:shd w:val="clear" w:fill="FFFFFF"/>
        </w:rPr>
        <w:t>Ga_ref1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), из г. Порту, Португалия (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21"/>
          <w:szCs w:val="21"/>
          <w:shd w:val="clear" w:fill="FFFFFF"/>
        </w:rPr>
        <w:t>Ga_ref2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), из г. Виго, Атлантическое побережье Испании (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21"/>
          <w:szCs w:val="21"/>
          <w:shd w:val="clear" w:fill="FFFFFF"/>
        </w:rPr>
        <w:t>Ga_ref3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).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 Всего было обработано 89 изображений моллюсков, у которых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на внутренней поверхности левой створки были нанесены 14 опорных точек (landmarks), которые позволили описать форму раковины и форму системы отпечатков мышц на внутренней поверхности створок (рис. 1).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После прокрустова преобразования описанных систем опорных точек, был проведен анализ главных компонент (Рис. 2). Мидии из референсных выборок достаточно хорошо разделяются в морфопространстве первых двух главных компонент, которые описывают 51.1% изменчивости формы.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lang w:val="ru-RU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Первая главная компонента демонстрирует градиент формы раковины (Рис.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++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) от мидий с более выпуклым брюшным краем (вершиной приподнята к дорзальной поверхности), к “клювовидной” форме, у которой брюшной край слегка вогнутый, а вершина прижата к вентральной поверхности моллюска. Вторая компонента (Рис. 3) описывает вариации в форме и положении отпечатков мышц на внутренней поверхности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 раковины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Ф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орма раковин моллюсков в референсных выборках из Европы (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21"/>
          <w:szCs w:val="21"/>
          <w:shd w:val="clear" w:fill="FFFFFF"/>
        </w:rPr>
        <w:t>Tr_ref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, 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21"/>
          <w:szCs w:val="21"/>
          <w:shd w:val="clear" w:fill="FFFFFF"/>
        </w:rPr>
        <w:t>Ed_ref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, 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21"/>
          <w:szCs w:val="21"/>
          <w:shd w:val="clear" w:fill="FFFFFF"/>
        </w:rPr>
        <w:t>Ga_ref2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и 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21"/>
          <w:szCs w:val="21"/>
          <w:shd w:val="clear" w:fill="FFFFFF"/>
        </w:rPr>
        <w:t>Ga_ref3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) различается достаточно хорошо (Рис.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++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): все 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21"/>
          <w:szCs w:val="21"/>
          <w:shd w:val="clear" w:fill="FFFFFF"/>
        </w:rPr>
        <w:t>Tr_ref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находятся в пределх первого квартиля PC1; большинство 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21"/>
          <w:szCs w:val="21"/>
          <w:shd w:val="clear" w:fill="FFFFFF"/>
        </w:rPr>
        <w:t>Ga_ref2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и 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21"/>
          <w:szCs w:val="21"/>
          <w:shd w:val="clear" w:fill="FFFFFF"/>
        </w:rPr>
        <w:t>Ga_ref3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сконцентрировано в области четвертого квартиля PC1; форма раковины 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21"/>
          <w:szCs w:val="21"/>
          <w:shd w:val="clear" w:fill="FFFFFF"/>
        </w:rPr>
        <w:t>Ed_ref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занимает промежуточное положение.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Изменчивость формы раковины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мидий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 из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Гасейд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а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(треугольные точки на рис.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++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), была велика и соизмерима с изменчивостью формы из разных референсных выборок, собранных в географически удаленных друг от друга регионах.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Вместе с тем, в среднем, форма раковины у моллюсков разных генотипов оказалась близка к консенсусной (значения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PC1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в пределах второго и третьего квартилей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Явного разделения геотипов по форме не выявляется.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1"/>
          <w:szCs w:val="21"/>
          <w:shd w:val="clear" w:fill="FFFFFF"/>
          <w:lang w:val="ru-RU"/>
        </w:rPr>
      </w:pP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1"/>
          <w:szCs w:val="21"/>
          <w:shd w:val="clear" w:fill="FFFFFF"/>
          <w:lang w:val="ru-RU"/>
        </w:rPr>
        <w:t>Результат: Форма раковины у мидий существующих в условиях гибридизации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1"/>
          <w:szCs w:val="21"/>
          <w:shd w:val="clear" w:fill="FFFFFF"/>
          <w:lang w:val="en-US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1"/>
          <w:szCs w:val="21"/>
          <w:shd w:val="clear" w:fill="FFFFFF"/>
          <w:lang w:val="ru-RU"/>
        </w:rPr>
        <w:t xml:space="preserve">варьирует в очень широких пределах. При этом форма раковины утрачивает видоспецифические черты, выявляемые при анализе генетически чистых популяций.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Дополнительно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 мы применили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альтернативный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 подход к изучению морфологической вариации, который базируется на изучении относительных размеров отдельных параметров раковины. То есть мы рассмотрели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“классически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е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” морфометрически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е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характеристик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и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(McDonald et al., 1991)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.  Для этого у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16 случайно отобранных мидий, собранных в Гасейде, были измерены 7 наиболее дифференцирующих признаков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: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ab/>
        <w:t xml:space="preserve">ширина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(W)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и высота раковины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 (H)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, длина лигамента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 (lig)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, 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расстояние между передним концом отпечатка заднего ретрактора и спинным краем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 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раковины (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dpr)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, длина отпечатка заднего мускула ретрактора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 (lpr)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, длина замковой площадки 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(hp)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, длина отпечатка переднего мускула замыкателя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 (aam)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. Размеры этих признаков были логарифмированы и отнесены к логарифму длины раковины, как это делалось в работе McDonald et al.(1991).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Мы вычислили матрицу эвклидовых расстояний между всеми изученными мидиями, используя в качестве признаков величины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Sructure score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. Далее, с помощью процедуры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BioEnv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 (С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larke &amp; Ainsworth, 1993) было показано, что наилучшей комбинацией морфологических признаков, дающей матрицу эвклидовых расстояний подобную матрице гентических расстояний,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 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вявляется сочетание двух признаков: 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lig 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и 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hp.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 Оба эти признака имеют значимую корреляцию 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(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Рис. 3) с вероятностью присутствия в геноме аллелей 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Ga (Structure score)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. Сходна система корреляций была показана и в работе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McDonald et al., 1991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. </w:t>
      </w:r>
      <w:bookmarkStart w:id="0" w:name="_GoBack"/>
      <w:bookmarkEnd w:id="0"/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 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В качестве маркера генотипа мы использовали Structure score, отражающие веротяность присутствия в генотипе аллелей Ga.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</w:pPr>
    </w:p>
    <w:p/>
    <w:sectPr>
      <w:pgSz w:w="11906" w:h="16838"/>
      <w:pgMar w:top="1440" w:right="1800" w:bottom="1440" w:left="180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1351D9"/>
    <w:rsid w:val="13F64302"/>
    <w:rsid w:val="291351D9"/>
    <w:rsid w:val="332C3588"/>
    <w:rsid w:val="3434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  <w:iCs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2020-11-30T15:18:00Z</dcterms:created>
  <dc:creator>polyd</dc:creator>
  <cp:lastModifiedBy>polyd</cp:lastModifiedBy>
  <dcterms:modified xsi:type="dcterms:W3CDTF">2020-12-01T20:38:53Z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