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540"/>
        <w:rPr>
          <w:lang w:val="en-US"/>
        </w:rPr>
      </w:pPr>
    </w:p>
    <w:p>
      <w:pPr>
        <w:spacing w:line="360" w:lineRule="auto"/>
        <w:ind w:firstLine="540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1148080</wp:posOffset>
                </wp:positionV>
                <wp:extent cx="57150" cy="45720"/>
                <wp:effectExtent l="0" t="0" r="19050" b="1206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6pt;margin-top:90.4pt;height:3.6pt;width:4.5pt;z-index:251661312;v-text-anchor:middle;mso-width-relative:page;mso-height-relative:page;" fillcolor="#FF0000" filled="t" stroked="t" coordsize="21600,21600" o:gfxdata="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WqgcNQAAAALAQAADwAAAAAA&#10;AAABACAAAAAiAAAAZHJzL2Rvd25yZXYueG1sUEsBAhQAFAAAAAgAh07iQDEVMIVQAgAAqAQAAA4A&#10;AAAAAAAAAQAgAAAAIwEAAGRycy9lMm9Eb2MueG1sUEsFBgAAAAAGAAYAWQEAAOUFAAAAAA==&#10;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1246505</wp:posOffset>
                </wp:positionV>
                <wp:extent cx="57150" cy="45720"/>
                <wp:effectExtent l="0" t="0" r="19050" b="1206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2.35pt;margin-top:98.15pt;height:3.6pt;width:4.5pt;z-index:251659264;v-text-anchor:middle;mso-width-relative:page;mso-height-relative:page;" fillcolor="#FF0000" filled="t" stroked="t" coordsize="21600,21600" o:gfxdata="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oD3SH1wAAAAsBAAAPAAAA&#10;AAAAAAEAIAAAACIAAABkcnMvZG93bnJldi54bWxQSwECFAAUAAAACACHTuJAAmnIVU8CAACoBAAA&#10;DgAAAAAAAAABACAAAAAmAQAAZHJzL2Uyb0RvYy54bWxQSwUGAAAAAAYABgBZAQAA5wUAAAAA&#10;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5163185" cy="28555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7" r="-4" b="-7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</w:pPr>
      <w:r>
        <w:t>а) на изображение внутренней поверхности раковины</w:t>
      </w:r>
    </w:p>
    <w:p>
      <w:pPr>
        <w:spacing w:line="360" w:lineRule="auto"/>
      </w:pPr>
      <w:r>
        <w:t xml:space="preserve">1 – точка пересечения биссектрисы угла между касательными к </w:t>
      </w:r>
      <w:r>
        <w:rPr>
          <w:i/>
        </w:rPr>
        <w:t>вентральному и дорсальному краям раковины</w:t>
      </w:r>
      <w:r>
        <w:t>? с вершиной раковины</w:t>
      </w:r>
    </w:p>
    <w:p>
      <w:pPr>
        <w:spacing w:line="360" w:lineRule="auto"/>
      </w:pPr>
      <w:r>
        <w:t>2 – верхний край зубной пластинки</w:t>
      </w:r>
    </w:p>
    <w:p>
      <w:pPr>
        <w:spacing w:line="360" w:lineRule="auto"/>
      </w:pPr>
      <w:r>
        <w:t>3 – нижний край зубной пластинки</w:t>
      </w:r>
    </w:p>
    <w:p>
      <w:pPr>
        <w:spacing w:line="360" w:lineRule="auto"/>
      </w:pPr>
      <w:r>
        <w:t xml:space="preserve">4 – задний край лигамента </w:t>
      </w:r>
    </w:p>
    <w:p>
      <w:pPr>
        <w:spacing w:line="360" w:lineRule="auto"/>
        <w:rPr>
          <w:color w:val="0000FF"/>
        </w:rPr>
      </w:pPr>
      <w:r>
        <w:rPr>
          <w:color w:val="0000FF"/>
        </w:rPr>
        <w:t>5 – наиболее выпуклая точка раковины (точка, в которой  внешняя поверхность раковины касается стеклянной пластинки, когда плоскость края створки сориентирована параллельно стеклу)</w:t>
      </w:r>
    </w:p>
    <w:p>
      <w:pPr>
        <w:spacing w:line="360" w:lineRule="auto"/>
      </w:pPr>
      <w:r>
        <w:t>6 – точка соединения отпечатка заднего ретрактора с отпечатком заднего аддуктора</w:t>
      </w:r>
    </w:p>
    <w:p>
      <w:pPr>
        <w:spacing w:line="360" w:lineRule="auto"/>
      </w:pPr>
      <w:r>
        <w:t>7 – точка соединения отпечатка заднего аддуктора с паллиальным синусом</w:t>
      </w:r>
    </w:p>
    <w:p>
      <w:pPr>
        <w:spacing w:line="360" w:lineRule="auto"/>
      </w:pPr>
      <w:r>
        <w:t xml:space="preserve">8 – точка на переднем крае заднего аддуктора, находящаяся на максимальном расстоянии от точки 7 </w:t>
      </w:r>
    </w:p>
    <w:p>
      <w:pPr>
        <w:spacing w:line="360" w:lineRule="auto"/>
      </w:pPr>
      <w:r>
        <w:t>9 – точка на вентральной стороне заднего аддуктора, находящаяся на минимальном расстоянии от касательной к вентральной стороне раковины</w:t>
      </w:r>
    </w:p>
    <w:p>
      <w:pPr>
        <w:spacing w:line="360" w:lineRule="auto"/>
      </w:pPr>
      <w:r>
        <w:t>10 – пересечение перпендикуляра к касательной, опущенного из точки 9, с вентральным краем раковины</w:t>
      </w:r>
    </w:p>
    <w:p>
      <w:pPr>
        <w:spacing w:line="360" w:lineRule="auto"/>
        <w:rPr>
          <w:color w:val="0000FF"/>
        </w:rPr>
      </w:pPr>
      <w:r>
        <w:rPr>
          <w:color w:val="0000FF"/>
          <w:highlight w:val="red"/>
        </w:rPr>
        <w:t>11???</w:t>
      </w:r>
      <w:r>
        <w:rPr>
          <w:color w:val="0000FF"/>
        </w:rPr>
        <w:t>- точка на вентральном крае паллиального синуса, находящаяся на максимальном расстоянии от края раковины</w:t>
      </w:r>
    </w:p>
    <w:p>
      <w:pPr>
        <w:spacing w:line="360" w:lineRule="auto"/>
      </w:pPr>
      <w:r>
        <w:t>12 - точка на заднем крае раковины, находящаяся на максимальном расстоянии от точки 1</w:t>
      </w:r>
    </w:p>
    <w:p>
      <w:pPr>
        <w:spacing w:line="360" w:lineRule="auto"/>
      </w:pPr>
      <w:r>
        <w:t>13 – точка, делящая расстояние между точками 10 и 12 пополам</w:t>
      </w:r>
    </w:p>
    <w:p>
      <w:pPr>
        <w:spacing w:line="360" w:lineRule="auto"/>
      </w:pPr>
      <w:r>
        <w:t>14 – точка на дорсальной стороне раковины, удаленная от точки 12 на столько же, насколько удалена  от нее точка 13</w:t>
      </w:r>
    </w:p>
    <w:p>
      <w:pPr>
        <w:spacing w:line="360" w:lineRule="auto"/>
      </w:pPr>
      <w:r>
        <w:t xml:space="preserve">15 и 16 – точки на дорсальной и вентральной сторонах раковины, максимально удаленные друг от друга (максимальная высота раковины) </w:t>
      </w:r>
    </w:p>
    <w:p>
      <w:pPr>
        <w:spacing w:line="360" w:lineRule="auto"/>
      </w:pPr>
      <w:r>
        <w:t>17 – точка, делящая пополам расстояние 3-10</w:t>
      </w:r>
    </w:p>
    <w:p>
      <w:pPr>
        <w:spacing w:line="360" w:lineRule="auto"/>
      </w:pPr>
      <w:r>
        <w:t>18 – точка, делящая пополам расстояние 17-10</w:t>
      </w:r>
    </w:p>
    <w:p>
      <w:pPr>
        <w:spacing w:line="360" w:lineRule="auto"/>
      </w:pPr>
      <w:r>
        <w:t>19 - точка, делящая пополам расстояние 17-3</w:t>
      </w:r>
    </w:p>
    <w:p>
      <w:pPr>
        <w:spacing w:line="360" w:lineRule="auto"/>
      </w:pPr>
      <w:r>
        <w:t xml:space="preserve">20 – точка, расположенная на вентральной стороне раковины и находящаяся на максимальном расстоянии от касательной к этому краю раковины. Эта точка характеризует максимальную выгнутость-вогнутость вентральной стороны раковины. В случае, если вентральная поверхность вогнута («клювовидная раковина»), точка расположена выше касательной, в случае, если вентральная поверхность выгнута, точка расположена ниже касательной. </w:t>
      </w:r>
    </w:p>
    <w:p>
      <w:pPr>
        <w:spacing w:line="360" w:lineRule="auto"/>
      </w:pPr>
      <w:r>
        <w:t>21 - точка, делящая пополам расстояние 14-15</w:t>
      </w:r>
    </w:p>
    <w:p>
      <w:pPr>
        <w:spacing w:line="360" w:lineRule="auto"/>
      </w:pPr>
      <w:r>
        <w:t>22 - точка, делящая пополам расстояние 21-15</w:t>
      </w:r>
    </w:p>
    <w:p>
      <w:pPr>
        <w:spacing w:line="360" w:lineRule="auto"/>
      </w:pPr>
      <w:r>
        <w:t>23 - точка, делящая пополам расстояние 21-14</w:t>
      </w:r>
    </w:p>
    <w:p>
      <w:pPr>
        <w:spacing w:line="360" w:lineRule="auto"/>
      </w:pPr>
      <w:r>
        <w:t>24 - точка, делящая пополам расстояние 4-15</w:t>
      </w:r>
    </w:p>
    <w:p>
      <w:pPr>
        <w:spacing w:line="360" w:lineRule="auto"/>
      </w:pPr>
      <w:r>
        <w:rPr>
          <w:highlight w:val="red"/>
        </w:rPr>
        <w:t>+25</w:t>
      </w:r>
      <w:r>
        <w:t xml:space="preserve"> – язычок: передний край призматической полоски под лигаментом?</w:t>
      </w:r>
    </w:p>
    <w:p>
      <w:pPr>
        <w:spacing w:line="360" w:lineRule="auto"/>
      </w:pPr>
      <w:bookmarkStart w:id="0" w:name="_GoBack"/>
      <w:r>
        <w:rPr>
          <w:highlight w:val="red"/>
        </w:rPr>
        <w:t>+26</w:t>
      </w:r>
      <w:r>
        <w:t xml:space="preserve"> </w:t>
      </w:r>
      <w:bookmarkEnd w:id="0"/>
      <w:r>
        <w:t>– передний край отпечатка заднего ретрактора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t>27 - точка перегиба (горбик) на дорзальном крае</w:t>
      </w:r>
    </w:p>
    <w:p>
      <w:pPr>
        <w:spacing w:line="360" w:lineRule="auto"/>
      </w:pPr>
    </w:p>
    <w:sectPr>
      <w:pgSz w:w="11906" w:h="16838"/>
      <w:pgMar w:top="1134" w:right="850" w:bottom="1134" w:left="1701" w:header="0" w:footer="0" w:gutter="0"/>
      <w:cols w:space="720" w:num="1"/>
      <w:formProt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BE"/>
    <w:rsid w:val="000075ED"/>
    <w:rsid w:val="00370DAD"/>
    <w:rsid w:val="00AF29A9"/>
    <w:rsid w:val="00FA36BE"/>
    <w:rsid w:val="755A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DejaVu Sans" w:cs="DejaVu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qFormat/>
    <w:uiPriority w:val="0"/>
    <w:rPr>
      <w:rFonts w:ascii="Tahoma" w:hAnsi="Tahoma" w:cs="Tahoma"/>
      <w:sz w:val="16"/>
      <w:szCs w:val="16"/>
    </w:rPr>
  </w:style>
  <w:style w:type="paragraph" w:styleId="3">
    <w:name w:val="Body Text 2"/>
    <w:basedOn w:val="1"/>
    <w:qFormat/>
    <w:uiPriority w:val="0"/>
    <w:pPr>
      <w:ind w:firstLine="284"/>
      <w:jc w:val="both"/>
    </w:pPr>
    <w:rPr>
      <w:rFonts w:ascii="Arial" w:hAnsi="Arial" w:cs="Arial"/>
      <w:szCs w:val="20"/>
      <w:lang w:val="en-US"/>
    </w:r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5">
    <w:name w:val="Body Text"/>
    <w:basedOn w:val="1"/>
    <w:qFormat/>
    <w:uiPriority w:val="0"/>
    <w:pPr>
      <w:spacing w:after="140" w:line="276" w:lineRule="auto"/>
    </w:pPr>
  </w:style>
  <w:style w:type="paragraph" w:styleId="6">
    <w:name w:val="List"/>
    <w:basedOn w:val="5"/>
    <w:uiPriority w:val="0"/>
  </w:style>
  <w:style w:type="paragraph" w:customStyle="1" w:styleId="9">
    <w:name w:val="Heading"/>
    <w:basedOn w:val="1"/>
    <w:next w:val="5"/>
    <w:qFormat/>
    <w:uiPriority w:val="0"/>
    <w:pPr>
      <w:keepNext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341</Words>
  <Characters>1947</Characters>
  <Lines>16</Lines>
  <Paragraphs>4</Paragraphs>
  <TotalTime>369</TotalTime>
  <ScaleCrop>false</ScaleCrop>
  <LinksUpToDate>false</LinksUpToDate>
  <CharactersWithSpaces>2284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2020-03-02T13:11:00Z</dcterms:created>
  <dc:creator>Marusia</dc:creator>
  <cp:lastModifiedBy>polyd</cp:lastModifiedBy>
  <dcterms:modified xsi:type="dcterms:W3CDTF">2020-09-18T06:49:08Z</dcterms:modified>
  <dc:title>В морфологических исследованиях Mytilus  в качестве признаков традиционно используются отпечатки мускулов на внутренней поверх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