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МАТЕРИАЛ И МЕТОДЫ</w:t>
      </w:r>
    </w:p>
    <w:p>
      <w:pPr>
        <w:autoSpaceDE w:val="0"/>
        <w:autoSpaceDN w:val="0"/>
        <w:adjustRightInd w:val="0"/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Материалом для исследования послужили сборы, проведенные в июне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-августе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2001 – 2023 гг. в устьевой части губы Чупа Кандалакшского залива Белого моря (Рис. 1). Лов рыбы в период мониторинговых наблюдений производился сетями ячеей 30-40 мм на одних и тех же промысловых участках на глубинах от 3 до 20 м. Наибольшее количество биологических проб в течение полевых сезонов было взято в июле, что связано с активными преднерестовыми и нагульными перемещениями зубатки в это время в прибрежной зоне губы Чупа. У пойманных рыб (830 экз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.) измеряли общую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длину (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TL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 и массу тела с точностью до 0.1 см и 1 г соответственно, а после вскрытия рыб (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dissected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while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fresh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определяли их пол и стадии зрелости гонад. Большинство исследованных особей зубатки были 30-50 см длиной (85%), поэтому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>этот признак рыб не рассматривался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данной работе.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Качестве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нный состав содержимого желудков (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gastrointestinal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tract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 зубатки был изучен у 438 особей общей длиной тела от 27.4 до 64.2 см (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mean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length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….,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……). У всех пищевых организмов, извлеченных из желудков рыб, была определена видовая принадлежность. Частота встречаемости разных объектов питания в работе везде приведена только для рыб, у которых обнаружена пища в желудочно-кишечном тракте (Методическое пособие 1974). Интенсивность питания рыб оценивали по соотношению пустых и наполненных желудков. </w:t>
      </w:r>
    </w:p>
    <w:p>
      <w:pPr>
        <w:autoSpaceDE w:val="0"/>
        <w:autoSpaceDN w:val="0"/>
        <w:adjustRightInd w:val="0"/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autoSpaceDE w:val="0"/>
        <w:autoSpaceDN w:val="0"/>
        <w:adjustRightInd w:val="0"/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Рис. 1. Карта района исследований и места лова зубатки в губе Чупа</w:t>
      </w:r>
    </w:p>
    <w:p>
      <w:pPr>
        <w:autoSpaceDE w:val="0"/>
        <w:autoSpaceDN w:val="0"/>
        <w:adjustRightInd w:val="0"/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autoSpaceDE w:val="0"/>
        <w:autoSpaceDN w:val="0"/>
        <w:adjustRightInd w:val="0"/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lang w:eastAsia="ru-RU"/>
        </w:rPr>
        <w:drawing>
          <wp:inline distT="0" distB="0" distL="0" distR="0">
            <wp:extent cx="5939790" cy="3178175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Для описания разнообразия пищевого спектра был использован индекс Шеннона, который в данном случае описывается следующей формулой: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MathJax_Math" w:hAnsi="MathJax_Math" w:eastAsia="Times New Roman" w:cs="Times New Roman"/>
          <w:i/>
          <w:iCs/>
          <w:sz w:val="29"/>
          <w:szCs w:val="29"/>
          <w:lang w:eastAsia="ru-RU"/>
        </w:rPr>
        <w:t>H</w:t>
      </w:r>
      <w:r>
        <w:rPr>
          <w:rFonts w:ascii="MathJax_Main" w:hAnsi="MathJax_Main" w:eastAsia="Times New Roman" w:cs="Times New Roman"/>
          <w:sz w:val="29"/>
          <w:szCs w:val="29"/>
          <w:lang w:eastAsia="ru-RU"/>
        </w:rPr>
        <w:t>=−</w:t>
      </w:r>
      <w:r>
        <w:rPr>
          <w:rFonts w:ascii="MathJax_Size2" w:hAnsi="MathJax_Size2" w:eastAsia="Times New Roman" w:cs="Times New Roman"/>
          <w:sz w:val="29"/>
          <w:szCs w:val="29"/>
          <w:lang w:eastAsia="ru-RU"/>
        </w:rPr>
        <w:t>∑</w:t>
      </w:r>
      <w:r>
        <w:rPr>
          <w:rFonts w:ascii="MathJax_Math" w:hAnsi="MathJax_Math" w:eastAsia="Times New Roman" w:cs="Times New Roman"/>
          <w:i/>
          <w:iCs/>
          <w:sz w:val="29"/>
          <w:szCs w:val="29"/>
          <w:lang w:eastAsia="ru-RU"/>
        </w:rPr>
        <w:t>P</w:t>
      </w:r>
      <w:r>
        <w:rPr>
          <w:rFonts w:ascii="MathJax_Math" w:hAnsi="MathJax_Math" w:eastAsia="Times New Roman" w:cs="Times New Roman"/>
          <w:i/>
          <w:iCs/>
          <w:sz w:val="20"/>
          <w:szCs w:val="20"/>
          <w:lang w:eastAsia="ru-RU"/>
        </w:rPr>
        <w:t>i</w:t>
      </w:r>
      <w:r>
        <w:rPr>
          <w:rFonts w:ascii="Cambria Math" w:hAnsi="Cambria Math" w:eastAsia="Times New Roman" w:cs="Cambria Math"/>
          <w:sz w:val="29"/>
          <w:szCs w:val="29"/>
          <w:lang w:eastAsia="ru-RU"/>
        </w:rPr>
        <w:t>⋅</w:t>
      </w:r>
      <w:r>
        <w:rPr>
          <w:rFonts w:ascii="MathJax_Math" w:hAnsi="MathJax_Math" w:eastAsia="Times New Roman" w:cs="Times New Roman"/>
          <w:i/>
          <w:iCs/>
          <w:sz w:val="29"/>
          <w:szCs w:val="29"/>
          <w:lang w:eastAsia="ru-RU"/>
        </w:rPr>
        <w:t>log</w:t>
      </w:r>
      <w:r>
        <w:rPr>
          <w:rFonts w:ascii="MathJax_Main" w:hAnsi="MathJax_Main" w:eastAsia="Times New Roman" w:cs="Times New Roman"/>
          <w:sz w:val="20"/>
          <w:szCs w:val="20"/>
          <w:vertAlign w:val="subscript"/>
          <w:lang w:eastAsia="ru-RU"/>
        </w:rPr>
        <w:t>2</w:t>
      </w:r>
      <w:r>
        <w:rPr>
          <w:rFonts w:ascii="MathJax_Math" w:hAnsi="MathJax_Math" w:eastAsia="Times New Roman" w:cs="Times New Roman"/>
          <w:i/>
          <w:iCs/>
          <w:sz w:val="29"/>
          <w:szCs w:val="29"/>
          <w:lang w:eastAsia="ru-RU"/>
        </w:rPr>
        <w:t>P</w:t>
      </w:r>
      <w:r>
        <w:rPr>
          <w:rFonts w:ascii="MathJax_Math" w:hAnsi="MathJax_Math" w:eastAsia="Times New Roman" w:cs="Times New Roman"/>
          <w:i/>
          <w:iCs/>
          <w:sz w:val="20"/>
          <w:szCs w:val="20"/>
          <w:lang w:eastAsia="ru-RU"/>
        </w:rPr>
        <w:t>i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Линия тренда - метод LOESS</w:t>
      </w:r>
      <w:r>
        <w:rPr>
          <w:rFonts w:ascii="Times New Roman" w:hAnsi="Times New Roman" w:cs="Times New Roman"/>
          <w:sz w:val="24"/>
          <w:szCs w:val="24"/>
        </w:rPr>
        <w:t xml:space="preserve"> (см. рис…)</w:t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анализа сезонной и многолетней динамики частоты встречаемости особей зубатки с пустыми желудками была построена обобщенная логистическая аддитивная модель (generalized additive model, </w:t>
      </w:r>
      <w:r>
        <w:rPr>
          <w:rFonts w:ascii="Times New Roman" w:hAnsi="Times New Roman" w:eastAsia="Times New Roman" w:cs="Times New Roman"/>
          <w:bCs/>
          <w:i/>
          <w:sz w:val="24"/>
          <w:szCs w:val="24"/>
          <w:lang w:eastAsia="ru-RU"/>
        </w:rPr>
        <w:t>GAM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 xml:space="preserve"> 1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). Эта модель описывает связь вероятности встречи рыб, у которых отсутствовала пища в желудках, с тремя предикторами: пол (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Sex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), номер календарного дня от начала года (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DOY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>описывает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сезонную динамику) и год (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Year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>описывает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многолетнюю динамику). Зависимая переменная для этой модели кодировалась цифрой 1, если рыба имела пустой желудок, или цифрой 0, если в желудке рыбы содержалась пища. Построенная модель описывается следующей формулой: </w:t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GAM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1: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Outcome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=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0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+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1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Sex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yellow"/>
          <w:vertAlign w:val="subscript"/>
          <w:lang w:val="en-US" w:eastAsia="ru-RU"/>
        </w:rPr>
        <w:t>Male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+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DOY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|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Sex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)+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Year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)+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ε</w:t>
      </w:r>
      <w:r>
        <w:rPr>
          <w:rFonts w:ascii="Times New Roman" w:hAnsi="Times New Roman" w:eastAsia="Times New Roman" w:cs="Times New Roman"/>
          <w:iCs/>
          <w:sz w:val="24"/>
          <w:szCs w:val="24"/>
          <w:lang w:eastAsia="ru-RU"/>
        </w:rPr>
        <w:t>,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где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0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-параметрические параметры регрессии, для фактора 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Sex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градация “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lang w:eastAsia="ru-RU"/>
        </w:rPr>
        <w:t>F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lang w:val="en-US" w:eastAsia="ru-RU"/>
        </w:rPr>
        <w:t>e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lang w:eastAsia="ru-RU"/>
        </w:rPr>
        <w:t>male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>”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взята за базовый уровень.</w:t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Непараметрическая сглаживающая функция, подобранная как множество кубических сплайнов (количество узлов 6), и описывающая изменение частоты встречаемости особей с пустыми желудками в зависимости от 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DOY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для каждого пола отдельно.</w:t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Непараметрическая сглаживающая функция, подобранная как множество кубических сплайнов (количество узлов 6), и описывающая изменение частоты встречаемости особей с пустыми желудками в зависимости от 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Year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без учета пола.</w:t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Здесь и далее подбор параметров модели осуществлялся с помощью функции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>gam()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из пакета “mgcv” (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>Wood, 2017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).</w:t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Для анализа динамики встречаемости отдельных видов в составе питания зубатки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было отобрано 11 видов, частота встречаемости которых 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  <w:lang w:eastAsia="ru-RU"/>
        </w:rPr>
        <w:t>(по обобщенным данным)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превышала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>5%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 Если какой-то конкретный вид был отмечен в желудках рыб, то переменная отклика кодировалась цифрой 1, если отсутствовал, то цифрой 0.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На основе данных по этим отобранным видам была построена логистическая аддитивная модель (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GAM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2) следующего вида: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GAM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2: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Outcome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=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(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Year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|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Species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vertAlign w:val="subscript"/>
          <w:lang w:val="en-US" w:eastAsia="ru-RU"/>
        </w:rPr>
        <w:t>k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)+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val="en-US" w:eastAsia="ru-RU"/>
        </w:rPr>
        <w:t>0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+∑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b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vertAlign w:val="subscript"/>
          <w:lang w:val="en-US" w:eastAsia="ru-RU"/>
        </w:rPr>
        <w:t>k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Species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vertAlign w:val="subscript"/>
          <w:lang w:val="en-US" w:eastAsia="ru-RU"/>
        </w:rPr>
        <w:t>k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+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ε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</w:p>
    <w:p>
      <w:pPr>
        <w:spacing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где </w:t>
      </w:r>
      <w:r>
        <w:rPr>
          <w:rFonts w:ascii="MathJax_Math" w:hAnsi="MathJax_Math" w:eastAsia="Times New Roman" w:cs="Times New Roman"/>
          <w:i/>
          <w:iCs/>
          <w:sz w:val="29"/>
          <w:szCs w:val="29"/>
          <w:lang w:eastAsia="ru-RU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непараметрические сглаживающие функции (подобранные, как множество кубических сплайнов), и описывающие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>связь вероятности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встретить каждый отдельный вид с годом.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Для анализа динамики соотношения полов в уловах в зависимости от сезона и года была построена аддитивная модель (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>Вот модель для вероятности встретить самок (весь материал, то есть и пустые и полные кишечники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mod_sex &lt;- gam(Sex_Outcome  ~ s(DOY, bs = "cr", k = 6) + s(Year, bs = "cr", k = 6), family = "binomial", data = zub_empty)</w:t>
      </w:r>
    </w:p>
    <w:p>
      <w:pPr>
        <w:spacing w:line="276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Статистические пакеты, ссылки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Видовой состав пищевых объектов и его многолетние изменения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Полосатая з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убатка имеет широкий спектр питания донными беспозвоночными в губе Чупа (Табл. 1). В составе ее пищи за весь период наблюдений обнаружено 36 видов пищевых организмов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, относящихся к следующим таксономическим группам – моллюски 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Mollusca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), ракообразные 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Crustacea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), асцидии 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Ascidiacea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), офиуры 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Ophiuroidea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) и иглокожие 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Echinoidea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).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По суммарным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>(обобщенным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данным за все годы наблюдений в желудочно-кишечном тракте зубатки доминировали моллюски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Buccinum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undatum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(50.2%) и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Serripes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groenlandicus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(32.4%) (Табл. 1). Второстепенное значение в питании занимали некоторые виды двустворчатых моллюсков (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bivalve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-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Mytilus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edulis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Clinocardium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(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Ciliatocardium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)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ciliatum</w:t>
      </w:r>
      <w:r>
        <w:rPr>
          <w:rFonts w:ascii="Times New Roman" w:hAnsi="Times New Roman" w:eastAsia="Times New Roman" w:cs="Times New Roman"/>
          <w:iCs/>
          <w:sz w:val="24"/>
          <w:szCs w:val="24"/>
          <w:lang w:eastAsia="ru-RU"/>
        </w:rPr>
        <w:t xml:space="preserve"> и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Arctica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islandica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(12.3 – 16.4% по частоте встречаемости). Незначительная доля (5-10% по ч.в.) в составе пищи зубатки принадлежала моллюскам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Musculus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discors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Littorina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littorea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Tonicella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marmorea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двум представителям ракообразных (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decapods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–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Hyas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araneus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Pagurus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pubescens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Cs/>
          <w:sz w:val="24"/>
          <w:szCs w:val="24"/>
          <w:lang w:eastAsia="ru-RU"/>
        </w:rPr>
        <w:t xml:space="preserve">и асцидии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Styela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rustica</w:t>
      </w:r>
      <w:r>
        <w:rPr>
          <w:rFonts w:ascii="Times New Roman" w:hAnsi="Times New Roman" w:eastAsia="Times New Roman" w:cs="Times New Roman"/>
          <w:iCs/>
          <w:sz w:val="24"/>
          <w:szCs w:val="24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Все остальные пищевые организмы встречались в желудках зубатки редко и не имели какого-либо существенного значения в ее рационе (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foods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were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incidental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occurrence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gut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contents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contributed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very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little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overall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diet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).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External skeletons of bottom organisms were almost always crushed.</w:t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Таблица 1. Видовой состав пищевых компонентов зубатки в губе Чупа в 2001-2023 гг. (%)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47"/>
        <w:gridCol w:w="17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Species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Freq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Buccinum_undatum 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50.2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Serripes_groenlandicus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32.4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Mytilus_edulis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16.4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Arctica_islandica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12.8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Ciliatocardium_ciliatum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12.3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Styela_rustica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(Ascidiacea)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10.7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Pagurus_pubescens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(Crustacea)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9.4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Musculus_discors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6.8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Hyas_araneus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(Crustacea)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6.6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Littorina_littorea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5.9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Tonicella_marmorea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Polyplacophora)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5.9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  <w:t>Cryptonatica_affinis (clausa) (Mollusca,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3.2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Modiolus_modiolus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2.5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  <w:t>Tridonta (Elliptica)_elliptica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2.1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  <w:t>Tridonta (Astarte)_borealis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2.1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Littorina_obtusata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2.1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Margarites_groenlandicus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Stongylocentrotus_pallidus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(Echinoidea)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  <w:t>Tridonta (Astarte)_montagui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Littorina_saxatilis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Sclerocrangon_boreas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(Crustacea)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Opiopholis_aculeata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(Ophiuroidea)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  <w:t>Testudinalia_testudinalis (tesselata) (Mollusca,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  <w:t>Lacuna (Epheria)_vincta (Mollusca,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Crenella_decussata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Hiatella_arctica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Lyonsia_arenosa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Musculus_niger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Chlamys_islandica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Ariadnaria_borealis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Boreotrophon_truncatus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Margarites_olivaceus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Velutina_velutina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Margarites_helicinus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Stenosemus_albus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Polyplacophora)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Boltenia_echinata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(Ascidiacea) 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0.2</w:t>
            </w:r>
          </w:p>
        </w:tc>
      </w:tr>
    </w:tbl>
    <w:p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видов, входящих в спектр питания зубатки, слабо изменялось по годам (Табл. 2) </w:t>
      </w:r>
      <w:r>
        <w:rPr>
          <w:rFonts w:ascii="Times New Roman" w:hAnsi="Times New Roman" w:cs="Times New Roman"/>
          <w:sz w:val="24"/>
          <w:szCs w:val="24"/>
          <w:highlight w:val="yellow"/>
        </w:rPr>
        <w:t>и не различалось между самцами и самками</w:t>
      </w:r>
      <w:r>
        <w:rPr>
          <w:rFonts w:ascii="Times New Roman" w:hAnsi="Times New Roman" w:cs="Times New Roman"/>
          <w:sz w:val="24"/>
          <w:szCs w:val="24"/>
        </w:rPr>
        <w:t>. Наибольшее число видов-жертв (</w:t>
      </w:r>
      <w:r>
        <w:rPr>
          <w:rFonts w:ascii="Times New Roman" w:hAnsi="Times New Roman" w:cs="Times New Roman"/>
          <w:sz w:val="24"/>
          <w:szCs w:val="24"/>
          <w:lang w:val="en-US"/>
        </w:rPr>
        <w:t>prey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species</w:t>
      </w:r>
      <w:r>
        <w:rPr>
          <w:rFonts w:ascii="Times New Roman" w:hAnsi="Times New Roman" w:cs="Times New Roman"/>
          <w:sz w:val="24"/>
          <w:szCs w:val="24"/>
        </w:rPr>
        <w:t xml:space="preserve">) в составе пищи зубатки обнаружено в 2001 году (19 видов), а наименьшее число видов (9) в пищевом спектре рыб наблюдалось в 2012 г. Никакого значимого многолетнего тренда в изменении числа потребляемых зубаткой бентосных организмов не наблюдается. Индекс разнообразия пищевого спектра оказался наиболее высоким для сборов 2001 года (Рис. 2). В 2004 году он значительно снизился и в последующие годы варьировал в незначительных пределах без четко выраженного тренда. </w:t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 Количество видов беспозвоночных животных, отмеченных в питании зубатки в разные годы наблюдений </w:t>
      </w:r>
      <w:r>
        <w:rPr>
          <w:rFonts w:ascii="Times New Roman" w:hAnsi="Times New Roman" w:cs="Times New Roman"/>
          <w:sz w:val="24"/>
          <w:szCs w:val="24"/>
          <w:highlight w:val="yellow"/>
        </w:rPr>
        <w:t>(ПЕРЕДЕЛАТЬ, ДОБАВИВ ЧИСЛО ПУСТЫХ ЖЕЛУДКОВ)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2"/>
        <w:gridCol w:w="31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Year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2001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2004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2007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2010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2014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2018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2019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2021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2022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2023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</w:tbl>
    <w:p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Многолетние изменения индекса разнообразия (Н - по Шеннону) пищевого спектра зубатки. Кривая - линия тренда, подобранная методом LOESS.</w:t>
      </w:r>
    </w:p>
    <w:p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lang w:eastAsia="ru-RU"/>
        </w:rPr>
        <w:drawing>
          <wp:inline distT="0" distB="0" distL="0" distR="0">
            <wp:extent cx="5940425" cy="4243070"/>
            <wp:effectExtent l="0" t="0" r="3175" b="5080"/>
            <wp:docPr id="4" name="Рисунок 4" descr="C:\Users\Петр Ершов\AppData\Local\Microsoft\Windows\INetCache\Content.MSO\D1F888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Петр Ершов\AppData\Local\Microsoft\Windows\INetCache\Content.MSO\D1F888F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Динамика частот встречаемости отдельных видов в питании зубатки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3 приведены результаты построения модели, описывающей динамику частот встречаемости пищевых организмов, которые играли доминирующую или второстепенную роль в рационе зубатки в летнее время. Значимые межгодовые изменения по частоте встречаемости были отмечены у следующих видов - </w:t>
      </w:r>
      <w:r>
        <w:rPr>
          <w:rFonts w:ascii="Times New Roman" w:hAnsi="Times New Roman" w:cs="Times New Roman"/>
          <w:i/>
          <w:sz w:val="24"/>
          <w:szCs w:val="24"/>
        </w:rPr>
        <w:t>Serripes_groenlandicus, Musculus_discors, Littorina_littorea, Tonicella_marmorea, Hyas_araneus, Pagurus_pubescens, Styela_rustica.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3. </w:t>
      </w:r>
      <w:r>
        <w:rPr>
          <w:rFonts w:ascii="Times New Roman" w:hAnsi="Times New Roman" w:cs="Times New Roman"/>
          <w:sz w:val="24"/>
          <w:szCs w:val="24"/>
          <w:highlight w:val="yellow"/>
        </w:rPr>
        <w:t>НАЗВАНИЕ - Результаты построения модели, оценка сглаживающих функций</w:t>
      </w:r>
    </w:p>
    <w:tbl>
      <w:tblPr>
        <w:tblStyle w:val="3"/>
        <w:tblW w:w="82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3"/>
        <w:gridCol w:w="1287"/>
        <w:gridCol w:w="1359"/>
        <w:gridCol w:w="14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4083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1287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edf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statistic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s(Year):SpeciesMytilus_edulis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3.232875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7.1634134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0.1248882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s(Year):SpeciesArctica_islandica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1.000057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0.2916802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0.5891989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s(Year):SpeciesCiliatocardium_ciliatum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1.000370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3.6776889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0.0551954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s(Year):SpeciesSerripes_groenlandicus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2.266850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8.9080763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0.0217546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s(Year):SpeciesMusculus_discors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2.790712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8.8014054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0.0433540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s(Year):SpeciesBuccinum_undatum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1.000610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3.2754812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0.0704742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s(Year):SpeciesLittorina_littorea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1.504882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9.4216369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0.0060055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s(Year):SpeciesTonicella_marmorea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1.539365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8.9140625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0.0196253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s(Year):SpeciesHyas_araneus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1.522513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49.6145963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0.0000000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s(Year):SpeciesPagurus_pubescens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1.000323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9.8095006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0.0017396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083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s(Year):SpeciesStyela_rustica</w:t>
            </w:r>
          </w:p>
        </w:tc>
        <w:tc>
          <w:tcPr>
            <w:tcW w:w="1287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3.421483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18.8233317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0.0010440</w:t>
            </w:r>
          </w:p>
        </w:tc>
      </w:tr>
    </w:tbl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Визуализация модели, описывающей многолетнюю динамику частоты встречаемости отдельных видов приведена на рисунке 3. Полученные кривые зависимостей частоты встречаемости пищевого объекта от года наблюдений можно разделить на три условные группы: 1) относительно стабильная встречаемость вида в разные годы, 2) нисходящий тренд, и 3) восходящий тренд. В первую группу вошли 4 массовых вида моллюсков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Mytilus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edulis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Arctica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islandica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Ciliatocardium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ciliatum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Buccinum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undatum</w:t>
      </w:r>
      <w:r>
        <w:rPr>
          <w:rFonts w:ascii="Times New Roman" w:hAnsi="Times New Roman" w:cs="Times New Roman"/>
          <w:sz w:val="24"/>
          <w:szCs w:val="24"/>
        </w:rPr>
        <w:t>. Вторая группа была представлена 2 видами моллюсков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Littorina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littorea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Tonicella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marmorea</w:t>
      </w:r>
      <w:r>
        <w:rPr>
          <w:rFonts w:ascii="Times New Roman" w:hAnsi="Times New Roman" w:cs="Times New Roman"/>
          <w:sz w:val="24"/>
          <w:szCs w:val="24"/>
        </w:rPr>
        <w:t>) и 2 видами ракообразных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Hyas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araneus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Pagurus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pubescens</w:t>
      </w:r>
      <w:r>
        <w:rPr>
          <w:rFonts w:ascii="Times New Roman" w:hAnsi="Times New Roman" w:cs="Times New Roman"/>
          <w:sz w:val="24"/>
          <w:szCs w:val="24"/>
        </w:rPr>
        <w:t>). Частота встречаемости этих видов в составе пищи зубатки закономерно снижалась на протяжении наших многолетних наблюдений. Виды, входящие в третью группу, продемонстрировали постепенное и значимое увеличение частоты встречаемости в составе пищи зубаток либо в течение всего периода исследований с 2001 по 2023 гг.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Serripes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groenlandicus</w:t>
      </w:r>
      <w:r>
        <w:rPr>
          <w:rFonts w:ascii="Times New Roman" w:hAnsi="Times New Roman" w:cs="Times New Roman"/>
          <w:sz w:val="24"/>
          <w:szCs w:val="24"/>
        </w:rPr>
        <w:t>), либо на протяжении более короткого отрезка времени 2012-2020 гг.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Styela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rustica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Musculus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discors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Видовой состав пищевых объектов, частота встречаемости которых в желудках зубатки в каждый отдельный год наблюдений превышала 20% приведен на рис. 4. Видно, что в разные годы число видов, наиболее часто встречающихся в составе пищи зубатки, варьировало в узком диапазоне. В 2001 году таких видов было 5, в последующие годы преимущественно 3 (редко 2 и 4), а в последние три года только 2 вида составляли основу питания вида. Интересно, что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undatum</w:t>
      </w:r>
      <w:r>
        <w:rPr>
          <w:rFonts w:ascii="Times New Roman" w:hAnsi="Times New Roman" w:cs="Times New Roman"/>
          <w:sz w:val="24"/>
          <w:szCs w:val="24"/>
        </w:rPr>
        <w:t xml:space="preserve"> входил в группу часто встречающихся видов каждый год из 14 лет наблюдений. Чуть реже, в 12 случаях, среди доминирующих видов был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groenlandicus</w:t>
      </w:r>
      <w:r>
        <w:rPr>
          <w:rFonts w:ascii="Times New Roman" w:hAnsi="Times New Roman" w:cs="Times New Roman"/>
          <w:sz w:val="24"/>
          <w:szCs w:val="24"/>
        </w:rPr>
        <w:t xml:space="preserve">. Мидия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edulis</w:t>
      </w:r>
      <w:r>
        <w:rPr>
          <w:rFonts w:ascii="Times New Roman" w:hAnsi="Times New Roman" w:cs="Times New Roman"/>
          <w:sz w:val="24"/>
          <w:szCs w:val="24"/>
        </w:rPr>
        <w:t xml:space="preserve"> с частотой встречаемости &gt;20% была отмечена в составе пищи только 4 раза. Каждый из остальных 8 видов входил в группу значимых пищевых объектов только 2 раза за весь период наблюдений. Таким образом, три вида -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undatum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groenlandicus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edulis</w:t>
      </w:r>
      <w:r>
        <w:rPr>
          <w:rFonts w:ascii="Times New Roman" w:hAnsi="Times New Roman" w:cs="Times New Roman"/>
          <w:sz w:val="24"/>
          <w:szCs w:val="24"/>
        </w:rPr>
        <w:t xml:space="preserve">, обеспечили значительную часть общего рациона зубатки в период 2001-2023 гг. Необходимо заметить, что в отдельные годы (2001-2007) роль ракообразных тоже была относительно высокой. Редкая встречаемость других </w:t>
      </w:r>
      <w:r>
        <w:rPr>
          <w:rFonts w:ascii="Times New Roman" w:hAnsi="Times New Roman" w:cs="Times New Roman"/>
          <w:sz w:val="24"/>
          <w:szCs w:val="24"/>
          <w:lang w:val="en-US"/>
        </w:rPr>
        <w:t>prey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species</w:t>
      </w:r>
      <w:r>
        <w:rPr>
          <w:rFonts w:ascii="Times New Roman" w:hAnsi="Times New Roman" w:cs="Times New Roman"/>
          <w:sz w:val="24"/>
          <w:szCs w:val="24"/>
        </w:rPr>
        <w:t xml:space="preserve"> в пище зубатки может свидетельствовать о малых размерах особей и невысоких показателях их обилия в поселениях в исследованном участке губы Чупа.   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 Многолетние изменения встречаемости в желудках зубатки наиболее значимых объектов в ее питании. Кривая представляет собой линию тренда, подобранную методом </w:t>
      </w:r>
      <w:r>
        <w:rPr>
          <w:rFonts w:ascii="Times New Roman" w:hAnsi="Times New Roman" w:cs="Times New Roman"/>
          <w:i/>
          <w:sz w:val="24"/>
          <w:szCs w:val="24"/>
        </w:rPr>
        <w:t>GAM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lang w:eastAsia="ru-RU"/>
        </w:rPr>
        <w:drawing>
          <wp:inline distT="0" distB="0" distL="0" distR="0">
            <wp:extent cx="5940425" cy="4243070"/>
            <wp:effectExtent l="0" t="0" r="3175" b="5080"/>
            <wp:docPr id="3" name="Рисунок 3" descr="C:\Users\Петр Ершов\AppData\Local\Microsoft\Windows\INetCache\Content.MSO\92C7CC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Петр Ершов\AppData\Local\Microsoft\Windows\INetCache\Content.MSO\92C7CCE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4. Многолетние изменения набора пищевых объектов, частота встречаемости которых в желудках зубатки превышала 20% 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ПЕРЕДЕЛАТЬ РИСУНОК. ВИДЫ ЗА ВСЕ ГОДЫ НАБЛЮДЕНИЙ РАСПОЛОЖИТЬ СЛЕДУЮЩИМ ОБРАЗОМ: 1 –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undatum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2 –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groenlandicus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3-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edulis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4-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araneus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5-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pubescens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6-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ciliatum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7-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islandica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8-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rustica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9-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discors</w:t>
      </w:r>
      <w:r>
        <w:rPr>
          <w:rFonts w:ascii="Times New Roman" w:hAnsi="Times New Roman" w:cs="Times New Roman"/>
          <w:sz w:val="24"/>
          <w:szCs w:val="24"/>
          <w:highlight w:val="yellow"/>
        </w:rPr>
        <w:t>, 10-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marmorea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11-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clausa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 + ИЗМЕНИТЬ ШТРИХОВКУ ТАК, ЧТОБЫ НЕ БЫЛО ПУТАНИЦЫ</w:t>
      </w:r>
    </w:p>
    <w:p>
      <w:pPr>
        <w:spacing w:line="276" w:lineRule="auto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940425" cy="4243070"/>
            <wp:effectExtent l="0" t="0" r="3175" b="5080"/>
            <wp:docPr id="5" name="Рисунок 5" descr="C:\Users\Петр Ершов\AppData\Local\Microsoft\Windows\INetCache\Content.MSO\3A3039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Петр Ершов\AppData\Local\Microsoft\Windows\INetCache\Content.MSO\3A30394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b/>
          <w:bCs/>
          <w:lang w:eastAsia="ru-RU"/>
        </w:rPr>
        <w:drawing>
          <wp:inline distT="0" distB="0" distL="0" distR="0">
            <wp:extent cx="5940425" cy="4243070"/>
            <wp:effectExtent l="0" t="0" r="3175" b="5080"/>
            <wp:docPr id="7" name="Рисунок 7" descr="C:\Users\Петр Ершов\AppData\Local\Microsoft\Windows\INetCache\Content.MSO\27184A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C:\Users\Петр Ершов\AppData\Local\Microsoft\Windows\INetCache\Content.MSO\27184A3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Сезонная и многолетняя динамика частоты пустых кишечников (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empty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guts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)</w:t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Помимо рыб, у которых была обнаружена пища в желудках, в уловах ежегодно присутствовали также зубатки с пустыми желудками. Встречаемость таких особей значительно варьировала по годам – от 17.2 до 69.8% и в среднем составила почти половину (47.2%) от общего числа исследованных рыб (Табл. 2). Результаты анализа построенной модели показали, что у самцов значимой сезонной динамики доли особей с пустыми желудками не наблюдается (Табл. 4, Рис. 5В). Иная картина по встречаемости рыб с разным наполнением желудка наблюдалась у самок. На протяжении периода наблюдений (июнь-август) наибольшая вероятность встретить самку с пустым желудком отмечалась в конце июля-начале августа, т.е. в период массового нереста рыб (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р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&gt;0.01; Табл. 4, Рис. 5А). Согласно данным модели, наиболее интенсивный откорм самок происходит в первой половине лета, т.е. в преднерестовый период.</w:t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Таблица 4.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>Описание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аддитивной модели,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>описывающей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сезонные и многолетние изменения частоты встречаемости особей зубатки с пустыми желудками</w:t>
      </w:r>
    </w:p>
    <w:tbl>
      <w:tblPr>
        <w:tblStyle w:val="3"/>
        <w:tblW w:w="581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1192"/>
        <w:gridCol w:w="1236"/>
        <w:gridCol w:w="13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edf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statistic</w:t>
            </w:r>
          </w:p>
        </w:tc>
        <w:tc>
          <w:tcPr>
            <w:tcW w:w="1315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s(DOY):Sexfemale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1.000423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7.183059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0.0073804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s(DOY):Sexmale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1.000195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2.319201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0.1278000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06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s(Year)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4.961386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60.355039</w:t>
            </w:r>
          </w:p>
        </w:tc>
        <w:tc>
          <w:tcPr>
            <w:tcW w:w="1315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0.0000000</w:t>
            </w:r>
          </w:p>
        </w:tc>
      </w:tr>
    </w:tbl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Рис. 5.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>НАЗВАНИЕ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(Вот визуализация полученной модели).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6400800" cy="4572000"/>
            <wp:effectExtent l="0" t="0" r="0" b="0"/>
            <wp:docPr id="2" name="Рисунок 2" descr="C:\Users\Петр Ершов\AppData\Local\Microsoft\Windows\INetCache\Content.MSO\868C2D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Петр Ершов\AppData\Local\Microsoft\Windows\INetCache\Content.MSO\868C2D0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Многолетние изменения встречаемости особей с пустыми желудками в уловах зубатки в губе Чупа были достоверны (Табл.4, Рис. 6). </w:t>
      </w:r>
      <w:r>
        <w:rPr>
          <w:rFonts w:ascii="Times New Roman" w:hAnsi="Times New Roman" w:cs="Times New Roman"/>
          <w:sz w:val="24"/>
          <w:szCs w:val="24"/>
          <w:highlight w:val="yellow"/>
        </w:rPr>
        <w:t>Поскольку достоверных различий между полами по доле особей без пищи в желудках не было обнаружено, данные по самцам и самкам при анализе модели были объединены.</w:t>
      </w:r>
      <w:r>
        <w:rPr>
          <w:rFonts w:ascii="Times New Roman" w:hAnsi="Times New Roman" w:cs="Times New Roman"/>
          <w:sz w:val="24"/>
          <w:szCs w:val="24"/>
        </w:rPr>
        <w:t xml:space="preserve"> На приведенном рисунке четко выделяются два пика кривой, которые означают, что в данные годы вероятность встретить особь с пустым желудком была достоверно выше, чем в остальные. “Голодные” годы для зубатки, т.е. когда доля особей с пустыми желудками в уловах была наибольшей, приходятся на периоды 2010-2014 гг. и 2019-2021 гг. 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6400800" cy="4572000"/>
            <wp:effectExtent l="0" t="0" r="0" b="0"/>
            <wp:docPr id="1" name="Рисунок 1" descr="C:\Users\Петр Ершов\AppData\Local\Microsoft\Windows\INetCache\Content.MSO\C7527D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Петр Ершов\AppData\Local\Microsoft\Windows\INetCache\Content.MSO\C7527D9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Рис. 6. Многолетняя динамика частоты встречаемости особей зубатки с пустыми желудками 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u-RU"/>
        </w:rPr>
        <w:t xml:space="preserve">Некоторые черты экологии в период нагула и нереста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Проведенные нами сборы и наблюдения в устьевой части губы Чупа показали, что зубатка в летний период встречается в уловах на данной акватории неравномерно. Основные места ее обитания приурочены к прибрежным скалистым участкам, которые характеризуются глубинами (обычно 10-20 м) и каменистыми грунтами. В таких локациях зубатки находят себе укрытия в расщелинах скал, в углублениях под камнями или между валунами. На обширных мелководных участках с илистым или илисто-песчаным дном, где отсутствуют россыпи крупных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stones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или заросли водорослей, зубатка практически не встречается.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Как показывает статистика уловов, наиболее активные перемещения зубатки вдоль побережья губы Чупа в поисках пищи и мест нереста происходят в июне-июле. В течение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августа встречаемость зубатки в уловах постепенно уменьшается, а с середины сентября она почти не попадает в орудия лова. Нагул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половозрелых особей происходит в основном на глубинах 5 – 20 м поблизости от мест постоянного обитания в летний период.  Температура придонных слоев воды, при которой происходит нагул рыб в губе Чупа, в начале и конце лета составляет …… на глубинах 10-15 м, а на глубинах 20-25 м –  …...С. 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Наши многолетние наблюдения позволили также оценить межгодовую изменчивость в сроках начала и продолжительности нереста зубатки в губе Чупа. В течение периода исследований (2001-2023 гг.) первые отнерестившиеся самки в уловах были отмечены 18 июля 2007 года. В отдельные годы вследствие затяжной весны и позднего прогрева толщи воды наблюдался незначительный сдвиг (на 1-2 недели) начала нереста рыб на более поздние даты. Массовый и довольно сжатый по срокам нерест у зубатки происходил обычно в последней декаде июля-начале августа, т.е. в наиболее теплое время летнего сезона. В это время температура воды в пр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идонных слоях на глубине 15 м составляла ……С. По среднемноголетним данным нерест заканчивался во второй декаде августа. Единичные самки со зрелой икрой в яичниках встречались в уловах до 12 августа (2013 год). Каких-либо различий по срокам начала нереста у самок зубатки разной длины/возраста не наблюдалось. Как в начале периода нереста, так и в его конце в уловах одновременно присутствовали половозрелые особи разной длины/возраста. 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Никаких значимых сезонных или многолетних изменений в соотношении полов у зубатки из губы Чупа не выявлено (Табл.5).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2285"/>
        <w:gridCol w:w="2575"/>
        <w:gridCol w:w="259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Таблица 5.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  <w:t>Описание аддитивной модели, описывающей сезонную и многолетнюю динамику доли самок в популяции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edf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statistic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p.value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s(DOY)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1.000247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0.7663501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0.3814617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s(Year)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1.000182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1.4827866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0.2233680</w:t>
            </w:r>
          </w:p>
        </w:tc>
      </w:tr>
    </w:tbl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athJax_Mat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thJax_Size2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B1"/>
    <w:rsid w:val="00011F0B"/>
    <w:rsid w:val="00026EF6"/>
    <w:rsid w:val="000309D1"/>
    <w:rsid w:val="00036F9C"/>
    <w:rsid w:val="00075F30"/>
    <w:rsid w:val="00097F5F"/>
    <w:rsid w:val="000A6285"/>
    <w:rsid w:val="000C11C9"/>
    <w:rsid w:val="000C4B3F"/>
    <w:rsid w:val="000D39B7"/>
    <w:rsid w:val="00134AA2"/>
    <w:rsid w:val="00146DE0"/>
    <w:rsid w:val="001479D1"/>
    <w:rsid w:val="001508F0"/>
    <w:rsid w:val="001864E1"/>
    <w:rsid w:val="001908D6"/>
    <w:rsid w:val="001A30B5"/>
    <w:rsid w:val="001A3277"/>
    <w:rsid w:val="001A3C71"/>
    <w:rsid w:val="001C5F85"/>
    <w:rsid w:val="00210239"/>
    <w:rsid w:val="002215BE"/>
    <w:rsid w:val="00227537"/>
    <w:rsid w:val="0027130D"/>
    <w:rsid w:val="00290009"/>
    <w:rsid w:val="002C2465"/>
    <w:rsid w:val="002C2F64"/>
    <w:rsid w:val="002C3939"/>
    <w:rsid w:val="002C66CB"/>
    <w:rsid w:val="002E34D6"/>
    <w:rsid w:val="002F48AA"/>
    <w:rsid w:val="00313F14"/>
    <w:rsid w:val="00342B0D"/>
    <w:rsid w:val="003577A7"/>
    <w:rsid w:val="003721B0"/>
    <w:rsid w:val="0037623C"/>
    <w:rsid w:val="003A4C21"/>
    <w:rsid w:val="003B37F4"/>
    <w:rsid w:val="00400752"/>
    <w:rsid w:val="00401644"/>
    <w:rsid w:val="00456D2B"/>
    <w:rsid w:val="00457C2B"/>
    <w:rsid w:val="0046793E"/>
    <w:rsid w:val="00474CD6"/>
    <w:rsid w:val="00515FBA"/>
    <w:rsid w:val="00550645"/>
    <w:rsid w:val="00552654"/>
    <w:rsid w:val="00556B4E"/>
    <w:rsid w:val="005634DD"/>
    <w:rsid w:val="00570D5A"/>
    <w:rsid w:val="005B360F"/>
    <w:rsid w:val="005F14D6"/>
    <w:rsid w:val="0060557F"/>
    <w:rsid w:val="0061049C"/>
    <w:rsid w:val="006210D1"/>
    <w:rsid w:val="006809FD"/>
    <w:rsid w:val="006976F7"/>
    <w:rsid w:val="006B1C83"/>
    <w:rsid w:val="006D011C"/>
    <w:rsid w:val="006E5EA4"/>
    <w:rsid w:val="00722569"/>
    <w:rsid w:val="00736801"/>
    <w:rsid w:val="00770311"/>
    <w:rsid w:val="00780AF8"/>
    <w:rsid w:val="00781E2B"/>
    <w:rsid w:val="007B384E"/>
    <w:rsid w:val="007C1E92"/>
    <w:rsid w:val="007D3A98"/>
    <w:rsid w:val="007D7499"/>
    <w:rsid w:val="007E0CE7"/>
    <w:rsid w:val="007E33BC"/>
    <w:rsid w:val="007F7197"/>
    <w:rsid w:val="0083348F"/>
    <w:rsid w:val="00835223"/>
    <w:rsid w:val="00873738"/>
    <w:rsid w:val="008A6D97"/>
    <w:rsid w:val="008C3AF6"/>
    <w:rsid w:val="008F35B1"/>
    <w:rsid w:val="00913486"/>
    <w:rsid w:val="0093445B"/>
    <w:rsid w:val="00945ADE"/>
    <w:rsid w:val="009552CE"/>
    <w:rsid w:val="00962D1E"/>
    <w:rsid w:val="00977D56"/>
    <w:rsid w:val="00984B7F"/>
    <w:rsid w:val="009965A0"/>
    <w:rsid w:val="009A20F7"/>
    <w:rsid w:val="009B5446"/>
    <w:rsid w:val="009C2573"/>
    <w:rsid w:val="009E67ED"/>
    <w:rsid w:val="00A25210"/>
    <w:rsid w:val="00A3422E"/>
    <w:rsid w:val="00A83AAD"/>
    <w:rsid w:val="00A919EF"/>
    <w:rsid w:val="00AA05C3"/>
    <w:rsid w:val="00AA1279"/>
    <w:rsid w:val="00AB1599"/>
    <w:rsid w:val="00AB3A07"/>
    <w:rsid w:val="00AC2054"/>
    <w:rsid w:val="00B023B6"/>
    <w:rsid w:val="00B45353"/>
    <w:rsid w:val="00B7182A"/>
    <w:rsid w:val="00B73D8D"/>
    <w:rsid w:val="00BA396B"/>
    <w:rsid w:val="00BB706E"/>
    <w:rsid w:val="00C41B90"/>
    <w:rsid w:val="00C618E2"/>
    <w:rsid w:val="00C91677"/>
    <w:rsid w:val="00C9330C"/>
    <w:rsid w:val="00D114A0"/>
    <w:rsid w:val="00D24E86"/>
    <w:rsid w:val="00D25CD3"/>
    <w:rsid w:val="00D44DD1"/>
    <w:rsid w:val="00DE01D5"/>
    <w:rsid w:val="00DF79C9"/>
    <w:rsid w:val="00E60CFB"/>
    <w:rsid w:val="00F140A1"/>
    <w:rsid w:val="00F15E2D"/>
    <w:rsid w:val="00F2661C"/>
    <w:rsid w:val="00F311C7"/>
    <w:rsid w:val="00F5374F"/>
    <w:rsid w:val="00F73FD6"/>
    <w:rsid w:val="00F74AA9"/>
    <w:rsid w:val="00FD1DE8"/>
    <w:rsid w:val="28FC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6">
    <w:name w:val="Верхний колонтитул Знак"/>
    <w:basedOn w:val="2"/>
    <w:link w:val="4"/>
    <w:uiPriority w:val="99"/>
  </w:style>
  <w:style w:type="character" w:customStyle="1" w:styleId="7">
    <w:name w:val="Нижний колонтитул Знак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E27A2-7661-453F-A681-DE5CAA9F98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2531</Words>
  <Characters>14429</Characters>
  <Lines>120</Lines>
  <Paragraphs>33</Paragraphs>
  <TotalTime>1934</TotalTime>
  <ScaleCrop>false</ScaleCrop>
  <LinksUpToDate>false</LinksUpToDate>
  <CharactersWithSpaces>16927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2024-04-02T08:55:00Z</dcterms:created>
  <dc:creator>Петр Ершов</dc:creator>
  <cp:lastModifiedBy>google1599737165</cp:lastModifiedBy>
  <dcterms:modified xsi:type="dcterms:W3CDTF">2024-04-17T05:06:45Z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2EA8614164474247A54549C3696581AB_13</vt:lpwstr>
  </property>
</Properties>
</file>