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МАТЕРИАЛ И МЕТОДЫ</w:t>
      </w:r>
    </w:p>
    <w:p>
      <w:pPr>
        <w:autoSpaceDE w:val="0"/>
        <w:autoSpaceDN w:val="0"/>
        <w:adjustRightInd w:val="0"/>
        <w:spacing w:after="0" w:line="276" w:lineRule="auto"/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ru-RU"/>
        </w:rPr>
        <w:t>Обработка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 xml:space="preserve"> материала</w:t>
      </w:r>
    </w:p>
    <w:p>
      <w:pPr>
        <w:autoSpaceDE w:val="0"/>
        <w:autoSpaceDN w:val="0"/>
        <w:adjustRightInd w:val="0"/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Материалом для исследования послужили сборы, проведенные в июне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-августе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2001 – 2023 гг. в устьевой части губы Чупа Кандалакшского залива Белого моря (Рис. 1). Лов рыбы в период мониторинговых наблюдений производился сетями ячеей 30-40 мм на одних и тех же промысловых участках на глубинах от 3 до 20 м. Наибольшее количество биологических проб в течение полевых сезонов было взято в июле, что связано с активными преднерестовыми и нагульными перемещениями зубатки в это время в прибрежной зоне губы Чупа. У пойманных рыб (830 экз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.) измеряли общую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длину (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TL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 и массу тела с точностью до 0.1 см и 1 г соответственно, а после вскрытия рыб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dissected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fresh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определяли их пол и стадии зрелости гонад. Большинство исследованных особей зубатки были 30-50 см длиной (85%), поэтому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этот признак рыб не рассматривался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данной работе.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Качестве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нный состав содержимого желудков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gastrointestinal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tract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 зубатки был изучен у 438 особей общей длиной тела от 27.4 до 64.2 см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mean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length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….,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……). У всех пищевых организмов, извлеченных из желудков рыб, была определена видовая принадлежность. Частота встречаемости разных объектов питания в работе везде приведена только для рыб, у которых обнаружена пища в желудочно-кишечном тракте (Методическое пособие 1974). Интенсивность питания рыб оценивали по соотношению пустых и наполненных желудков. </w:t>
      </w:r>
    </w:p>
    <w:p>
      <w:pPr>
        <w:autoSpaceDE w:val="0"/>
        <w:autoSpaceDN w:val="0"/>
        <w:adjustRightInd w:val="0"/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Рис. 1. Карта района исследований и места лова зубатки в губе Чупа</w:t>
      </w:r>
    </w:p>
    <w:p>
      <w:pPr>
        <w:autoSpaceDE w:val="0"/>
        <w:autoSpaceDN w:val="0"/>
        <w:adjustRightInd w:val="0"/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lang w:eastAsia="ru-RU"/>
        </w:rPr>
        <w:drawing>
          <wp:inline distT="0" distB="0" distL="0" distR="0">
            <wp:extent cx="5939790" cy="317817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ru-RU"/>
        </w:rPr>
        <w:t>Статистический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 xml:space="preserve"> анализ</w:t>
      </w:r>
    </w:p>
    <w:p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ru-RU"/>
        </w:rPr>
        <w:t>Все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 xml:space="preserve"> анализы и визуализации были осуществлены с помощью пакетов языка статистического программирования R 4.2.3 (</w:t>
      </w:r>
      <w:r>
        <w:rPr>
          <w:rFonts w:hint="default" w:ascii="Times New Roman" w:hAnsi="Times New Roman" w:eastAsia="Times New Roman"/>
          <w:color w:val="0000FF"/>
          <w:sz w:val="24"/>
          <w:szCs w:val="24"/>
          <w:lang w:val="en-US" w:eastAsia="ru-RU"/>
        </w:rPr>
        <w:t xml:space="preserve">R Core Team, 2023). 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анализа сезонной и многолетней динамики частоты встречаемости особей зубатки с пустыми желудками была построена обобщенная логистическая аддитивная модель (generalized additive model, 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lang w:eastAsia="ru-RU"/>
        </w:rPr>
        <w:t>GAM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). Эта модель описывает связь вероятности встречи рыб, у которых отсутствовала пища в желудках, с тремя предикторами: пол (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Sex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), номер календарного дня от начала года (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DOY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ru-RU" w:eastAsia="ru-RU"/>
        </w:rPr>
        <w:t>характеризует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динамику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>в течение летнего сезона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 и год (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Year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описывает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многолетнюю динамику). Зависимая переменная для этой модели кодировалась цифрой 1, если рыба имела пустой желудок, или цифрой 0, если в желудке рыбы содержалась пища. Построенная модель описывается следующей формулой: 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GAM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1: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Outcome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Sex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yellow"/>
          <w:vertAlign w:val="subscript"/>
          <w:lang w:val="en-US" w:eastAsia="ru-RU"/>
        </w:rPr>
        <w:t>Male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DOY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|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Sex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Year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ε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>,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-параметрические параметры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(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>parametric terms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регрессии, для фактора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Sex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градация “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lang w:eastAsia="ru-RU"/>
        </w:rPr>
        <w:t>F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lang w:val="en-US" w:eastAsia="ru-RU"/>
        </w:rPr>
        <w:t>e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lang w:eastAsia="ru-RU"/>
        </w:rPr>
        <w:t>male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”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взята за базовый уровень.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Непараметрическая сглаживающая функция, подобранная как множество кубических сплайнов (количество узлов 6), и описывающая изменение частоты встречаемости особей с пустыми желудками в зависимости от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DOY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каждого пола отдельно.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Непараметрическая сглаживающая функция, подобранная как множество кубических сплайнов (количество узлов 6),  описывающая изменение частоты встречаемости особей с пустыми желудками в зависимости от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Year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без учета пола.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Здесь и далее подбор параметров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>GAM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осуществлялся с помощью функции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gam()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из пакета “mgcv” (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Wood, 2017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highlight w:val="cyan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cyan"/>
          <w:lang w:eastAsia="ru-RU"/>
        </w:rPr>
        <w:t>Перенес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highlight w:val="cyan"/>
          <w:lang w:val="en-US" w:eastAsia="ru-RU"/>
        </w:rPr>
        <w:t xml:space="preserve"> кусок про половой состав выше, так как это логичнее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Для анализа динамики соотношения полов в уловах в зависимости от сезона и года была построена аддитивная модель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>GAM 2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),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ru-RU" w:eastAsia="ru-RU"/>
        </w:rPr>
        <w:t>в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 xml:space="preserve"> которой зависимой переменной была вероятность встретить самку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. Предикторами в модели были DOY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и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Year, связь с которыми описывалась кубическими сплайнами. 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GAM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Outcome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+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DOY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Year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ε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>,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mod_sex &lt;- gam(Sex_Outcome  ~ s(DOY, bs = "cr", k = 6) + s(Year, bs = "cr", k = 6), family = "binomial", data = zub_empty)</w:t>
      </w:r>
    </w:p>
    <w:p>
      <w:pPr>
        <w:spacing w:line="276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ru-RU"/>
        </w:rPr>
        <w:t>Для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 xml:space="preserve"> остальных анализов, описанных ниже, из числа отловленных особей отбирали только тех, у которых в желудках была отмечена пища.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Для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каждого вида, отмеченного в питании, была рассчитана частота встречаемости (Pi), ка котношение числа рыб, у которых был отмечен данный вид, к общему количеству рыб.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Для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описания разнообразия пищевого спектра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5B9BD5" w:themeColor="accent1"/>
          <w:sz w:val="24"/>
          <w:szCs w:val="24"/>
          <w:lang w:val="en-US" w:eastAsia="ru-RU"/>
          <w14:textFill>
            <w14:solidFill>
              <w14:schemeClr w14:val="accent1"/>
            </w14:solidFill>
          </w14:textFill>
        </w:rPr>
        <w:t>в тот или иной год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был использован индекс Шеннона, который в данном случае описывается следующей формулой: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MathJax_Math" w:hAnsi="MathJax_Math" w:eastAsia="Times New Roman" w:cs="Times New Roman"/>
          <w:i/>
          <w:iCs/>
          <w:sz w:val="29"/>
          <w:szCs w:val="29"/>
          <w:lang w:eastAsia="ru-RU"/>
        </w:rPr>
        <w:t>H</w:t>
      </w:r>
      <w:r>
        <w:rPr>
          <w:rFonts w:ascii="MathJax_Main" w:hAnsi="MathJax_Main" w:eastAsia="Times New Roman" w:cs="Times New Roman"/>
          <w:sz w:val="29"/>
          <w:szCs w:val="29"/>
          <w:lang w:eastAsia="ru-RU"/>
        </w:rPr>
        <w:t>=−</w:t>
      </w:r>
      <w:r>
        <w:rPr>
          <w:rFonts w:ascii="MathJax_Size2" w:hAnsi="MathJax_Size2" w:eastAsia="Times New Roman" w:cs="Times New Roman"/>
          <w:sz w:val="29"/>
          <w:szCs w:val="29"/>
          <w:lang w:eastAsia="ru-RU"/>
        </w:rPr>
        <w:t>∑</w:t>
      </w:r>
      <w:r>
        <w:rPr>
          <w:rFonts w:ascii="MathJax_Math" w:hAnsi="MathJax_Math" w:eastAsia="Times New Roman" w:cs="Times New Roman"/>
          <w:i/>
          <w:iCs/>
          <w:sz w:val="29"/>
          <w:szCs w:val="29"/>
          <w:lang w:eastAsia="ru-RU"/>
        </w:rPr>
        <w:t>P</w:t>
      </w:r>
      <w:r>
        <w:rPr>
          <w:rFonts w:ascii="MathJax_Math" w:hAnsi="MathJax_Math" w:eastAsia="Times New Roman" w:cs="Times New Roman"/>
          <w:i/>
          <w:iCs/>
          <w:sz w:val="20"/>
          <w:szCs w:val="20"/>
          <w:lang w:eastAsia="ru-RU"/>
        </w:rPr>
        <w:t>i</w:t>
      </w:r>
      <w:r>
        <w:rPr>
          <w:rFonts w:ascii="Cambria Math" w:hAnsi="Cambria Math" w:eastAsia="Times New Roman" w:cs="Cambria Math"/>
          <w:sz w:val="29"/>
          <w:szCs w:val="29"/>
          <w:lang w:eastAsia="ru-RU"/>
        </w:rPr>
        <w:t>⋅</w:t>
      </w:r>
      <w:r>
        <w:rPr>
          <w:rFonts w:ascii="MathJax_Math" w:hAnsi="MathJax_Math" w:eastAsia="Times New Roman" w:cs="Times New Roman"/>
          <w:i/>
          <w:iCs/>
          <w:sz w:val="29"/>
          <w:szCs w:val="29"/>
          <w:lang w:eastAsia="ru-RU"/>
        </w:rPr>
        <w:t>log</w:t>
      </w:r>
      <w:r>
        <w:rPr>
          <w:rFonts w:ascii="MathJax_Main" w:hAnsi="MathJax_Main" w:eastAsia="Times New Roman" w:cs="Times New Roman"/>
          <w:sz w:val="20"/>
          <w:szCs w:val="20"/>
          <w:vertAlign w:val="subscript"/>
          <w:lang w:eastAsia="ru-RU"/>
        </w:rPr>
        <w:t>2</w:t>
      </w:r>
      <w:r>
        <w:rPr>
          <w:rFonts w:ascii="MathJax_Math" w:hAnsi="MathJax_Math" w:eastAsia="Times New Roman" w:cs="Times New Roman"/>
          <w:i/>
          <w:iCs/>
          <w:sz w:val="29"/>
          <w:szCs w:val="29"/>
          <w:lang w:eastAsia="ru-RU"/>
        </w:rPr>
        <w:t>P</w:t>
      </w:r>
      <w:r>
        <w:rPr>
          <w:rFonts w:ascii="MathJax_Math" w:hAnsi="MathJax_Math" w:eastAsia="Times New Roman" w:cs="Times New Roman"/>
          <w:i/>
          <w:iCs/>
          <w:sz w:val="20"/>
          <w:szCs w:val="20"/>
          <w:lang w:eastAsia="ru-RU"/>
        </w:rPr>
        <w:t>i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>
      <w:pPr>
        <w:spacing w:line="276" w:lineRule="auto"/>
        <w:rPr>
          <w:rFonts w:hint="default" w:ascii="Times New Roman" w:hAnsi="Times New Roman" w:cs="Times New Roman"/>
          <w:color w:val="5B9BD5" w:themeColor="accent1"/>
          <w:sz w:val="24"/>
          <w:szCs w:val="24"/>
          <w:highlight w:val="none"/>
          <w:lang w:val="ru-RU"/>
          <w14:textFill>
            <w14:solidFill>
              <w14:schemeClr w14:val="accent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5B9BD5" w:themeColor="accent1"/>
          <w:sz w:val="24"/>
          <w:szCs w:val="24"/>
          <w:highlight w:val="none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24"/>
          <w:szCs w:val="24"/>
          <w:highlight w:val="none"/>
          <w:lang w:val="ru-RU"/>
          <w14:textFill>
            <w14:solidFill>
              <w14:schemeClr w14:val="accent1"/>
            </w14:solidFill>
          </w14:textFill>
        </w:rPr>
        <w:t xml:space="preserve">Для описания многолетнего тренда этой величины была подобрана непараметрическая сглаживающая кривая, построенная методом </w:t>
      </w:r>
      <w:r>
        <w:rPr>
          <w:rFonts w:hint="default" w:ascii="Times New Roman" w:hAnsi="Times New Roman" w:cs="Times New Roman"/>
          <w:color w:val="5B9BD5" w:themeColor="accent1"/>
          <w:sz w:val="24"/>
          <w:szCs w:val="24"/>
          <w:highlight w:val="none"/>
          <w:lang w:val="en-US"/>
          <w14:textFill>
            <w14:solidFill>
              <w14:schemeClr w14:val="accent1"/>
            </w14:solidFill>
          </w14:textFill>
        </w:rPr>
        <w:t>LOESS (</w:t>
      </w:r>
      <w:r>
        <w:rPr>
          <w:rFonts w:hint="default" w:ascii="Times New Roman" w:hAnsi="Times New Roman"/>
          <w:color w:val="5B9BD5" w:themeColor="accent1"/>
          <w:sz w:val="24"/>
          <w:szCs w:val="24"/>
          <w:highlight w:val="none"/>
          <w:lang w:val="en-US"/>
          <w14:textFill>
            <w14:solidFill>
              <w14:schemeClr w14:val="accent1"/>
            </w14:solidFill>
          </w14:textFill>
        </w:rPr>
        <w:t>locally estimated scatterplot smoothing, ++++ REF)</w:t>
      </w:r>
      <w:r>
        <w:rPr>
          <w:rFonts w:hint="default" w:ascii="Times New Roman" w:hAnsi="Times New Roman" w:cs="Times New Roman"/>
          <w:color w:val="5B9BD5" w:themeColor="accent1"/>
          <w:sz w:val="24"/>
          <w:szCs w:val="24"/>
          <w:highlight w:val="none"/>
          <w:lang w:val="ru-RU"/>
          <w14:textFill>
            <w14:solidFill>
              <w14:schemeClr w14:val="accent1"/>
            </w14:solidFill>
          </w14:textFill>
        </w:rPr>
        <w:t xml:space="preserve">  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Для анализа динамики встречаемости отдельных видов в составе питания зубатки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Cs/>
          <w:color w:val="0000FF"/>
          <w:sz w:val="24"/>
          <w:szCs w:val="24"/>
          <w:lang w:val="en-US" w:eastAsia="ru-RU"/>
        </w:rPr>
        <w:t xml:space="preserve">выделили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11 видов, частота встречаемости которых </w:t>
      </w:r>
      <w:r>
        <w:rPr>
          <w:rFonts w:ascii="Times New Roman" w:hAnsi="Times New Roman" w:eastAsia="Times New Roman" w:cs="Times New Roman"/>
          <w:sz w:val="24"/>
          <w:szCs w:val="24"/>
          <w:highlight w:val="green"/>
          <w:lang w:eastAsia="ru-RU"/>
        </w:rPr>
        <w:t>(по обобщенным данным)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превышала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5%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 Если какой-то конкретный вид был отмечен в желудках рыб, то переменная отклика кодировалась цифрой 1, если отсутствовал, то цифрой 0.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 основе данных по этим отобранным видам была построена логистическая аддитивная модель (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GAM</w:t>
      </w:r>
      <w:r>
        <w:rPr>
          <w:rFonts w:hint="default" w:ascii="Times New Roman" w:hAnsi="Times New Roman" w:eastAsia="Times New Roman" w:cs="Times New Roman"/>
          <w:i/>
          <w:color w:val="0000FF"/>
          <w:sz w:val="24"/>
          <w:szCs w:val="24"/>
          <w:lang w:val="en-US" w:eastAsia="ru-RU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 следующего вида: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GAM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2: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Outcome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Year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|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val="en-US" w:eastAsia="ru-RU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)+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vertAlign w:val="subscript"/>
          <w:lang w:val="en-US" w:eastAsia="ru-RU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+∑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val="en-US" w:eastAsia="ru-RU"/>
        </w:rPr>
        <w:t>kk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+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ε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</w:p>
    <w:p>
      <w:pPr>
        <w:spacing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где </w:t>
      </w:r>
      <w:r>
        <w:rPr>
          <w:rFonts w:ascii="MathJax_Math" w:hAnsi="MathJax_Math" w:eastAsia="Times New Roman" w:cs="Times New Roman"/>
          <w:i/>
          <w:iCs/>
          <w:sz w:val="29"/>
          <w:szCs w:val="29"/>
          <w:lang w:eastAsia="ru-RU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- непараметрические сглаживающие функции (подобранные, как множество кубических сплайнов), и описывающие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связь вероятности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встретить каждый отдельный вид с годом.</w:t>
      </w: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>
      <w:pPr>
        <w:spacing w:line="276" w:lineRule="auto"/>
        <w:rPr>
          <w:rFonts w:hint="default" w:ascii="Times New Roman" w:hAnsi="Times New Roman" w:cs="Times New Roman"/>
          <w:b/>
          <w:color w:val="0000FF"/>
          <w:sz w:val="28"/>
          <w:szCs w:val="28"/>
          <w:highlight w:val="cyan"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highlight w:val="cyan"/>
          <w:lang w:val="ru-RU"/>
        </w:rPr>
        <w:t>Петр</w:t>
      </w:r>
      <w:r>
        <w:rPr>
          <w:rFonts w:hint="default" w:ascii="Times New Roman" w:hAnsi="Times New Roman" w:cs="Times New Roman"/>
          <w:b/>
          <w:color w:val="0000FF"/>
          <w:sz w:val="28"/>
          <w:szCs w:val="28"/>
          <w:highlight w:val="cyan"/>
          <w:lang w:val="ru-RU"/>
        </w:rPr>
        <w:t xml:space="preserve">! Предлагаю сначала дать анализ частоты пустых, потом, анализ половой структуры, а только потом все про состав пищи. 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Видовой состав пищевых объектов и его многолетние изменения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Полосатая з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убатка имеет широкий спектр питания донными беспозвоночными в губе Чупа (Табл. 1). В составе ее пищи за весь период наблюдений обнаружено 36 видов пищевых организмов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, относящихся к следующим таксономическим группам – моллюски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Mollusca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), ракообразные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Crustacea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), асцидии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Ascidiacea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), офиуры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Ophiuroidea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) и иглокожие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Echinoidea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).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 суммарным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(обобщенным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данным за все годы наблюдений в желудочно-кишечном тракте зубатки доминировали моллюски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Buccinum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undatum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(50.2%) и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Serripes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groenlandicus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(32.4%) (Табл. 1). Второстепенное значение в питании занимали некоторые виды двустворчатых моллюсков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bivalve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-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Mytilus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edulis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Clinocardium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Ciliatocardium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ciliatum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 xml:space="preserve"> и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Arctica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islandica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(12.3 – 16.4% по частоте встречаемости). Незначительная доля (5-10% по ч.в.) в составе пищи зубатки принадлежала моллюскам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Musculus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discors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Littorina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littorea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Tonicella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marmorea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двум представителям ракообразных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decapods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Hyas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araneus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Pagurus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 w:eastAsia="ru-RU"/>
        </w:rPr>
        <w:t>pubescens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 xml:space="preserve">и асцидии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Styela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rustica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Все остальные пищевые организмы встречались в желудках зубатки редко и не имели какого-либо существенного значения в ее рационе (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foods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were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incidental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occurrence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gut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contents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contributed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very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little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overall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diet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External skeletons of bottom organisms were almost always crushed.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Таблица 1. Видовой состав пищевых компонентов зубатки в губе Чупа в 2001-2023 гг. (%)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47"/>
        <w:gridCol w:w="17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Freq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Buccinum_undatum 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Serripes_groenlandicus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32.4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Mytilus_edulis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16.4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Arctica_islandica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12.8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Ciliatocardium_ciliatum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12.3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Styela_rustica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(Ascidiacea)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10.7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Pagurus_pubescens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(Crustacea)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9.4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Musculus_discors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6.8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Hyas_araneus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(Crustacea)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6.6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Littorina_littorea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Tonicella_marmorea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Polyplacophora)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Cryptonatica_affinis (clausa)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Modiolus_modiolus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Tridonta (Elliptica)_elliptica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Tridonta (Astarte)_borealis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Littorina_obtusata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Margarites_groenlandicus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Stongylocentrotus_pallidus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(Echinoidea)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Tridonta (Astarte)_montagui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Littorina_saxatilis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Sclerocrangon_boreas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(Crustacea)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Opiopholis_aculeata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(Ophiuroidea)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Testudinalia_testudinalis (tesselata)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ru-RU"/>
              </w:rPr>
              <w:t>Lacuna (Epheria)_vincta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Crenella_decussata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Hiatella_arctica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Lyonsia_arenosa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Musculus_niger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Chlamys_islandica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Bivalvia)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Ariadnaria_borealis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Boreotrophon_truncatus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Margarites_olivaceus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Velutina_velutina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Margarites_helicinus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Gastropoda)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Stenosemus_albus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(Mollusca, Polyplacophora)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Boltenia_echinata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(Ascidiacea) </w:t>
            </w:r>
          </w:p>
        </w:tc>
        <w:tc>
          <w:tcPr>
            <w:tcW w:w="1735" w:type="dxa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</w:t>
            </w:r>
          </w:p>
        </w:tc>
      </w:tr>
    </w:tbl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видов, входящих в спектр питания зубатки, слабо изменялось по годам (Табл. 2) </w:t>
      </w:r>
      <w:r>
        <w:rPr>
          <w:rFonts w:ascii="Times New Roman" w:hAnsi="Times New Roman" w:cs="Times New Roman"/>
          <w:sz w:val="24"/>
          <w:szCs w:val="24"/>
          <w:highlight w:val="yellow"/>
        </w:rPr>
        <w:t>и не различалось между самцами и самками</w:t>
      </w:r>
      <w:r>
        <w:rPr>
          <w:rFonts w:ascii="Times New Roman" w:hAnsi="Times New Roman" w:cs="Times New Roman"/>
          <w:sz w:val="24"/>
          <w:szCs w:val="24"/>
        </w:rPr>
        <w:t>. Наибольшее число видов-жертв (</w:t>
      </w:r>
      <w:r>
        <w:rPr>
          <w:rFonts w:ascii="Times New Roman" w:hAnsi="Times New Roman" w:cs="Times New Roman"/>
          <w:sz w:val="24"/>
          <w:szCs w:val="24"/>
          <w:lang w:val="en-US"/>
        </w:rPr>
        <w:t>prey</w:t>
      </w:r>
      <w:r>
        <w:rPr>
          <w:rFonts w:ascii="Times New Roman" w:hAnsi="Times New Roman" w:cs="Times New Roman"/>
          <w:sz w:val="24"/>
          <w:szCs w:val="24"/>
        </w:rPr>
        <w:t xml:space="preserve"> ) в составе пищи зубатки обнаружено в 2001 году (19 видов), а наименьшее число видов (9) в пищевом спектре рыб наблюдалось в 2012 г. Никакого значимого многолетнего тренда в изменении числа потребляемых зубаткой бентосных организмов не наблюдается. Индекс разнообразия пищевого спектра оказался наиболее высоким для сборов 2001 года (Рис. 2). В 2004 году он значительно снизился и в последующие годы варьировал в незначительных пределах без четко выраженного тренда. 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Количество видов беспозвоночных животных, отмеченных в питании зубатки в разные годы наблюдений </w:t>
      </w:r>
      <w:r>
        <w:rPr>
          <w:rFonts w:ascii="Times New Roman" w:hAnsi="Times New Roman" w:cs="Times New Roman"/>
          <w:sz w:val="24"/>
          <w:szCs w:val="24"/>
          <w:highlight w:val="yellow"/>
        </w:rPr>
        <w:t>(ПЕРЕДЕЛАТЬ, ДОБАВИВ ЧИСЛО ПУСТЫХ ЖЕЛУДКОВ)</w:t>
      </w:r>
    </w:p>
    <w:p>
      <w:pPr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ru-RU"/>
        </w:rPr>
        <w:t>Переделал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ru-RU"/>
        </w:rPr>
        <w:t xml:space="preserve">, см. 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>html</w:t>
      </w:r>
    </w:p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Многолетние изменения индекса разнообразия (Н - по Шеннону) пищевого спектра зубатки. Кривая - линия тренда, подобранная методом LOESS.</w:t>
      </w:r>
    </w:p>
    <w:p>
      <w:pPr>
        <w:spacing w:before="100" w:beforeAutospacing="1" w:after="100" w:afterAutospacing="1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Динамика частот встречаемости отдельных видов в питании зубатки</w:t>
      </w:r>
    </w:p>
    <w:p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3 приведены результаты построения модели, описывающей динамику частот встречаемости пищевых организмов, которые играли доминирующую или второстепенную роль в рационе зубатки в летнее время. Значимые межгодовые изменения по частоте встречаемости были отмечены у следующих видов - </w:t>
      </w:r>
      <w:r>
        <w:rPr>
          <w:rFonts w:ascii="Times New Roman" w:hAnsi="Times New Roman" w:cs="Times New Roman"/>
          <w:i/>
          <w:sz w:val="24"/>
          <w:szCs w:val="24"/>
        </w:rPr>
        <w:t>Serripes_groenlandicus, Musculus_discors, Littorina_littorea, Tonicella_marmorea, Hyas_araneus, Pagurus_pubescens, Styela_rustica.</w:t>
      </w:r>
    </w:p>
    <w:p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Параметры модели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GAM3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82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3"/>
        <w:gridCol w:w="1287"/>
        <w:gridCol w:w="1359"/>
        <w:gridCol w:w="14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408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128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edf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statistic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Year):Mytilus_edulis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3.232875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7.1634134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0.1248882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Year):Arctica_islandica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1.000057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0.2916802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0.5891989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Year):Ciliatocardium_ciliatum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1.000370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3.6776889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0.0551954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Year):Serripes_groenlandicus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2.266850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8.9080763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0.0217546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Year):Musculus_discors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2.790712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8.8014054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0.0433540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Year):Buccinum_undatum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1.000610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3.2754812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0.0704742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Year):Littorina_littorea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1.504882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9.4216369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0.0060055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Year):Tonicella_marmorea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1.539365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8.9140625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0.0196253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Year):Hyas_araneus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1.522513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49.6145963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Year):Pagurus_pubescens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1.000323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9.8095006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0.0017396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8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en-US" w:eastAsia="ru-RU"/>
              </w:rPr>
              <w:t>f(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eastAsia="ru-RU"/>
              </w:rPr>
              <w:t>Year):Styela_rustica</w:t>
            </w:r>
          </w:p>
        </w:tc>
        <w:tc>
          <w:tcPr>
            <w:tcW w:w="128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3.421483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18.8233317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0.0010440</w:t>
            </w:r>
          </w:p>
        </w:tc>
      </w:tr>
    </w:tbl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модели, описывающей многолетнюю динамику частоты встречаемости отдельных видов приведена на рисунке 3. Полученные кривые зависимостей частоты встречаемости пищевого объекта от года наблюдений можно разделить на три условные группы: 1) относительно стабильная встречаемость вида в разные годы, 2) нисходящий тренд, и 3) восходящий тренд. В первую группу вошли 4 массовых вида моллюсков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Mytilus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edulis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Arctica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islandica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Ciliatocardium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ciliatum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Buccinum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undatum</w:t>
      </w:r>
      <w:r>
        <w:rPr>
          <w:rFonts w:ascii="Times New Roman" w:hAnsi="Times New Roman" w:cs="Times New Roman"/>
          <w:sz w:val="24"/>
          <w:szCs w:val="24"/>
        </w:rPr>
        <w:t>. Вторая группа была представлена 2 видами моллюсков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Littorina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littorea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Tonicella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marmorea</w:t>
      </w:r>
      <w:r>
        <w:rPr>
          <w:rFonts w:ascii="Times New Roman" w:hAnsi="Times New Roman" w:cs="Times New Roman"/>
          <w:sz w:val="24"/>
          <w:szCs w:val="24"/>
        </w:rPr>
        <w:t>) и 2 видами ракообразных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Hyas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araneus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Pagurus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pubescens</w:t>
      </w:r>
      <w:r>
        <w:rPr>
          <w:rFonts w:ascii="Times New Roman" w:hAnsi="Times New Roman" w:cs="Times New Roman"/>
          <w:sz w:val="24"/>
          <w:szCs w:val="24"/>
        </w:rPr>
        <w:t>). Частота встречаемости этих видов в составе пищи зубатки закономерно снижалась на протяжении наших многолетних наблюдений. Виды, входящие в третью группу, продемонстрировали постепенное и значимое увеличение частоты встречаемости в составе пищи зубаток либо в течение всего периода исследований с 2001 по 2023 гг.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Serripes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groenlandicus</w:t>
      </w:r>
      <w:r>
        <w:rPr>
          <w:rFonts w:ascii="Times New Roman" w:hAnsi="Times New Roman" w:cs="Times New Roman"/>
          <w:sz w:val="24"/>
          <w:szCs w:val="24"/>
        </w:rPr>
        <w:t>), либо на протяжении более короткого отрезка времени 2012-2020 гг.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Styela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rustica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Musculus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discors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Видовой состав пищевых объектов, частота встречаемости которых в желудках зубатки в каждый отдельный год наблюдений превышала 20% приведен на рис. 4. Видно, что в разные годы число видов, наиболее часто встречающихся в составе пищи зубатки, варьировало в узком диапазоне. В 2001 году таких видов было 5, в последующие годы преимущественно 3 (редко 2 и 4), а в последние три года только 2 вида составляли основу питания вида. Интересно, что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undatum</w:t>
      </w:r>
      <w:r>
        <w:rPr>
          <w:rFonts w:ascii="Times New Roman" w:hAnsi="Times New Roman" w:cs="Times New Roman"/>
          <w:sz w:val="24"/>
          <w:szCs w:val="24"/>
        </w:rPr>
        <w:t xml:space="preserve"> входил в группу часто встречающихся видов каждый год из 14 лет наблюдений. Чуть реже, в 12 случаях, среди доминирующих видов был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groenlandicus</w:t>
      </w:r>
      <w:r>
        <w:rPr>
          <w:rFonts w:ascii="Times New Roman" w:hAnsi="Times New Roman" w:cs="Times New Roman"/>
          <w:sz w:val="24"/>
          <w:szCs w:val="24"/>
        </w:rPr>
        <w:t xml:space="preserve">. Мидия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edulis</w:t>
      </w:r>
      <w:r>
        <w:rPr>
          <w:rFonts w:ascii="Times New Roman" w:hAnsi="Times New Roman" w:cs="Times New Roman"/>
          <w:sz w:val="24"/>
          <w:szCs w:val="24"/>
        </w:rPr>
        <w:t xml:space="preserve"> с частотой встречаемости &gt;20% была отмечена в составе пищи только 4 раза. Каждый из остальных 8 видов входил в группу значимых пищевых объектов только 2 раза за весь период наблюдений. Таким образом, три вида 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undatum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groenlandicus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edulis</w:t>
      </w:r>
      <w:r>
        <w:rPr>
          <w:rFonts w:ascii="Times New Roman" w:hAnsi="Times New Roman" w:cs="Times New Roman"/>
          <w:sz w:val="24"/>
          <w:szCs w:val="24"/>
        </w:rPr>
        <w:t xml:space="preserve">, обеспечили значительную часть общего рациона зубатки в период 2001-2023 гг. Необходимо заметить, что в отдельные годы (2001-2007) роль ракообразных тоже была относительно высокой. Редкая встречаемость других </w:t>
      </w:r>
      <w:r>
        <w:rPr>
          <w:rFonts w:ascii="Times New Roman" w:hAnsi="Times New Roman" w:cs="Times New Roman"/>
          <w:sz w:val="24"/>
          <w:szCs w:val="24"/>
          <w:lang w:val="en-US"/>
        </w:rPr>
        <w:t>prey</w:t>
      </w:r>
      <w:r>
        <w:rPr>
          <w:rFonts w:ascii="Times New Roman" w:hAnsi="Times New Roman" w:cs="Times New Roman"/>
          <w:sz w:val="24"/>
          <w:szCs w:val="24"/>
        </w:rPr>
        <w:t xml:space="preserve">  в пище зубатки может свидетельствовать о малых размерах особей и невысоких показателях их обилия в поселениях в исследованном участке губы Чупа.   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 Многолетние изменения встречаемости в желудках зубатки наиболее значимых объектов в ее питании. Кривая представляет собой линию тренда, подобранную методом </w:t>
      </w:r>
      <w:r>
        <w:rPr>
          <w:rFonts w:ascii="Times New Roman" w:hAnsi="Times New Roman" w:cs="Times New Roman"/>
          <w:i/>
          <w:sz w:val="24"/>
          <w:szCs w:val="24"/>
        </w:rPr>
        <w:t>GAM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5940425" cy="4243070"/>
            <wp:effectExtent l="0" t="0" r="3175" b="5080"/>
            <wp:docPr id="3" name="Рисунок 3" descr="C:\Users\Петр Ершов\AppData\Local\Microsoft\Windows\INetCache\Content.MSO\92C7CC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Петр Ершов\AppData\Local\Microsoft\Windows\INetCache\Content.MSO\92C7CCE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4. Многолетние изменения набора пищевых объектов, частота встречаемости которых в желудках зубатки превышала 20% 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ПЕРЕДЕЛАТЬ РИСУНОК. ВИДЫ ЗА ВСЕ ГОДЫ НАБЛЮДЕНИЙ РАСПОЛОЖИТЬ СЛЕДУЮЩИМ ОБРАЗОМ: 1 –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undatum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2 –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groenlandicus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3-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edulis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4-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araneus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5-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pubescens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6-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ciliatum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7-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islandica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8-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rustica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9-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discors</w:t>
      </w:r>
      <w:r>
        <w:rPr>
          <w:rFonts w:ascii="Times New Roman" w:hAnsi="Times New Roman" w:cs="Times New Roman"/>
          <w:sz w:val="24"/>
          <w:szCs w:val="24"/>
          <w:highlight w:val="yellow"/>
        </w:rPr>
        <w:t>, 10-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marmorea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11-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clausa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 + ИЗМЕНИТЬ ШТРИХОВКУ ТАК, ЧТОБЫ НЕ БЫЛО ПУТАНИЦЫ</w:t>
      </w:r>
    </w:p>
    <w:p>
      <w:pPr>
        <w:spacing w:line="276" w:lineRule="auto"/>
        <w:rPr>
          <w:rFonts w:hint="default"/>
          <w:color w:val="0000FF"/>
          <w:lang w:val="en-US" w:eastAsia="ru-RU"/>
        </w:rPr>
      </w:pPr>
      <w:r>
        <w:rPr>
          <w:rFonts w:hint="default"/>
          <w:color w:val="0000FF"/>
          <w:lang w:val="ru-RU" w:eastAsia="ru-RU"/>
        </w:rPr>
        <w:t>Переделал</w:t>
      </w:r>
      <w:r>
        <w:rPr>
          <w:rFonts w:hint="default"/>
          <w:color w:val="0000FF"/>
          <w:lang w:val="en-US" w:eastAsia="ru-RU"/>
        </w:rPr>
        <w:t xml:space="preserve"> см. Html НО! </w:t>
      </w:r>
      <w:r>
        <w:rPr>
          <w:rFonts w:hint="default"/>
          <w:b/>
          <w:bCs/>
          <w:color w:val="0000FF"/>
          <w:lang w:val="en-US" w:eastAsia="ru-RU"/>
        </w:rPr>
        <w:t>Пока мне не нравится!</w:t>
      </w:r>
    </w:p>
    <w:p>
      <w:pPr>
        <w:spacing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pacing w:line="276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Сезонная и многолетняя динамика частоты пустых кишечников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empty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guts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)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Помимо рыб, у которых была обнаружена пища в желудках, в уловах ежегодно присутствовали также зубатки с пустыми желудками. Встречаемость таких особей значительно варьировала по годам – от 17.2 до 69.8% и в среднем составила почти половину (47.2%) от общего числа исследованных рыб (Табл. 2). Результаты анализа построенной модели показали, что у самцов значимой сезонной динамики доли особей с пустыми желудками не наблюдается (Табл. 4, Рис. 5В). Иная картина по встречаемости рыб с разным наполнением желудка наблюдалась у самок. На протяжении периода наблюдений (июнь-август) наибольшая вероятность встретить самку с пустым желудком отмечалась в конце июля-начале августа, т.е. в период массового нереста рыб (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&gt;0.01; Табл. 4, Рис. 5А). Согласно данным модели, наиболее интенсивный откорм самок происходит в первой половине лета, т.е. в преднерестовый период.</w:t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Таблица 4.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Описание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аддитивной модели,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описывающей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сезонные и многолетние изменения частоты встречаемости особей зубатки с пустыми желудками</w:t>
      </w:r>
    </w:p>
    <w:tbl>
      <w:tblPr>
        <w:tblStyle w:val="3"/>
        <w:tblW w:w="581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192"/>
        <w:gridCol w:w="1236"/>
        <w:gridCol w:w="13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edf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statistic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s(DOY):Sexfemale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1.000423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7.183059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0.0073804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s(DOY):Sexmale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1.000195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2.319201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0.1278000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s(Year)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4.961386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60.355039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0.0000000</w:t>
            </w:r>
          </w:p>
        </w:tc>
      </w:tr>
    </w:tbl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Рис. 5.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u-RU"/>
        </w:rPr>
        <w:t>НАЗВАНИЕ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(Вот визуализация полученной модели).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6400800" cy="4572000"/>
            <wp:effectExtent l="0" t="0" r="0" b="0"/>
            <wp:docPr id="2" name="Рисунок 2" descr="C:\Users\Петр Ершов\AppData\Local\Microsoft\Windows\INetCache\Content.MSO\868C2D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Петр Ершов\AppData\Local\Microsoft\Windows\INetCache\Content.MSO\868C2D0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Многолетние изменения встречаемости особей с пустыми желудками в уловах зубатки в губе Чупа были достоверны (Табл.4, Рис. 6). </w:t>
      </w:r>
      <w:r>
        <w:rPr>
          <w:rFonts w:ascii="Times New Roman" w:hAnsi="Times New Roman" w:cs="Times New Roman"/>
          <w:sz w:val="24"/>
          <w:szCs w:val="24"/>
          <w:highlight w:val="yellow"/>
        </w:rPr>
        <w:t>Поскольку достоверных различий между полами по доле особей без пищи в желудках не было обнаружено, данные по самцам и самкам при анализе модели были объединены.</w:t>
      </w:r>
      <w:r>
        <w:rPr>
          <w:rFonts w:ascii="Times New Roman" w:hAnsi="Times New Roman" w:cs="Times New Roman"/>
          <w:sz w:val="24"/>
          <w:szCs w:val="24"/>
        </w:rPr>
        <w:t xml:space="preserve"> На приведенном рисунке четко выделяются два пика кривой, которые означают, что в данные годы вероятность встретить особь с пустым желудком была достоверно выше, чем в остальные. “Голодные” годы для зубатки, т.е. когда доля особей с пустыми желудками в уловах была наибольшей, приходятся на периоды 2010-2014 гг. и 2019-2021 гг. 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6400800" cy="4572000"/>
            <wp:effectExtent l="0" t="0" r="0" b="0"/>
            <wp:docPr id="1" name="Рисунок 1" descr="C:\Users\Петр Ершов\AppData\Local\Microsoft\Windows\INetCache\Content.MSO\C7527D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Петр Ершов\AppData\Local\Microsoft\Windows\INetCache\Content.MSO\C7527D9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Рис. 6. Многолетняя динамика частоты встречаемости особей зубатки с пустыми желудками 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ru-RU"/>
        </w:rPr>
        <w:t xml:space="preserve">Некоторые черты экологии в период нагула и нереста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Проведенные нами сборы и наблюдения в устьевой части губы Чупа показали, что зубатка в летний период встречается в уловах на данной акватории неравномерно. Основные места ее обитания приурочены к прибрежным скалистым участкам, которые характеризуются глубинами (обычно 10-20 м) и каменистыми грунтами. В таких локациях зубатки находят себе укрытия в расщелинах скал, в углублениях под камнями или между валунами. На обширных мелководных участках с илистым или илисто-песчаным дном, где отсутствуют россыпи крупных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>stones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или заросли водорослей, зубатка практически не встречается.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Как показывает статистика уловов, наиболее активные перемещения зубатки вдоль побережья губы Чупа в поисках пищи и мест нереста происходят в июне-июле. В течение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августа встречаемость зубатки в уловах постепенно уменьшается, а с середины сентября она почти не попадает в орудия лова. Нагул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половозрелых особей происходит в основном на глубинах 5 – 20 м поблизости от мест постоянного обитания в летний период.  Температура придонных слоев воды, при которой происходит нагул рыб в губе Чупа, в начале и конце лета составляет …… на глубинах 10-15 м, а на глубинах 20-25 м –  …...С. 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Наши многолетние наблюдения позволили также оценить межгодовую изменчивость в сроках начала и продолжительности нереста зубатки в губе Чупа. В течение периода исследований (2001-2023 гг.) первые отнерестившиеся самки в уловах были отмечены 18 июля 2007 года. В отдельные годы вследствие затяжной весны и позднего прогрева толщи воды наблюдался незначительный сдвиг (на 1-2 недели) начала нереста рыб на более поздние даты. Массовый и довольно сжатый по срокам нерест у зубатки происходил обычно в последней декаде июля-начале августа, т.е. в наиболее теплое время летнего сезона. В это время температура воды в придонных слоях на глубине 15 м составляла ……С. По среднемноголетним данным нерест заканчивался во второй декаде августа. Единичные самки со зрелой икрой в яичниках встречались в уловах до 12 августа (2013 год). Каких-либо различий по срокам начала нереста у самок зубатки разной длины/возраста не наблюдалось. Как в начале периода нереста, так и в его конце в уловах одновременно присутствовали половозрелые особи разной длины/возраста.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Никаких значимых сезонных или многолетних изменений в соотношении полов у зубатки из губы Чупа не выявлено (Табл.5).</w:t>
      </w:r>
      <w:bookmarkStart w:id="0" w:name="_GoBack"/>
      <w:bookmarkEnd w:id="0"/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ru-RU"/>
        </w:rPr>
        <w:t>Эту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val="en-US" w:eastAsia="ru-RU"/>
        </w:rPr>
        <w:t xml:space="preserve"> таблицу предлагаю не вставлять, а просто написать что no significant both seasonal and inter annual trends were found (data not provided).  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2285"/>
        <w:gridCol w:w="2575"/>
        <w:gridCol w:w="25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Таблица 5.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  <w:t>Описание аддитивной модели, описывающей сезонную и многолетнюю динамику доли самок в популяции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term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edf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statistic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p.value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s(DOY)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1.000247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0.7663501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0.3814617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s(Year)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1.000182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1.4827866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0.2233680</w:t>
            </w:r>
          </w:p>
        </w:tc>
      </w:tr>
    </w:tbl>
    <w:p>
      <w:pPr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thJax_Mat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hJax_Size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B1"/>
    <w:rsid w:val="00011F0B"/>
    <w:rsid w:val="00026EF6"/>
    <w:rsid w:val="000309D1"/>
    <w:rsid w:val="00036F9C"/>
    <w:rsid w:val="00075F30"/>
    <w:rsid w:val="00097F5F"/>
    <w:rsid w:val="000A6285"/>
    <w:rsid w:val="000C11C9"/>
    <w:rsid w:val="000C4B3F"/>
    <w:rsid w:val="000D39B7"/>
    <w:rsid w:val="00134AA2"/>
    <w:rsid w:val="00146DE0"/>
    <w:rsid w:val="001479D1"/>
    <w:rsid w:val="001508F0"/>
    <w:rsid w:val="001864E1"/>
    <w:rsid w:val="001908D6"/>
    <w:rsid w:val="001A30B5"/>
    <w:rsid w:val="001A3277"/>
    <w:rsid w:val="001A3C71"/>
    <w:rsid w:val="001C5F85"/>
    <w:rsid w:val="00210239"/>
    <w:rsid w:val="002215BE"/>
    <w:rsid w:val="00227537"/>
    <w:rsid w:val="0027130D"/>
    <w:rsid w:val="00290009"/>
    <w:rsid w:val="002C2465"/>
    <w:rsid w:val="002C2F64"/>
    <w:rsid w:val="002C3939"/>
    <w:rsid w:val="002C66CB"/>
    <w:rsid w:val="002E34D6"/>
    <w:rsid w:val="002F48AA"/>
    <w:rsid w:val="00313F14"/>
    <w:rsid w:val="00342B0D"/>
    <w:rsid w:val="003577A7"/>
    <w:rsid w:val="003721B0"/>
    <w:rsid w:val="0037623C"/>
    <w:rsid w:val="003A4C21"/>
    <w:rsid w:val="003B37F4"/>
    <w:rsid w:val="00400752"/>
    <w:rsid w:val="00401644"/>
    <w:rsid w:val="00456D2B"/>
    <w:rsid w:val="00457C2B"/>
    <w:rsid w:val="0046793E"/>
    <w:rsid w:val="00474CD6"/>
    <w:rsid w:val="00515FBA"/>
    <w:rsid w:val="00550645"/>
    <w:rsid w:val="00552654"/>
    <w:rsid w:val="00556B4E"/>
    <w:rsid w:val="005634DD"/>
    <w:rsid w:val="00570D5A"/>
    <w:rsid w:val="005B360F"/>
    <w:rsid w:val="005F14D6"/>
    <w:rsid w:val="0060557F"/>
    <w:rsid w:val="0061049C"/>
    <w:rsid w:val="006210D1"/>
    <w:rsid w:val="006809FD"/>
    <w:rsid w:val="006976F7"/>
    <w:rsid w:val="006B1C83"/>
    <w:rsid w:val="006D011C"/>
    <w:rsid w:val="006E5EA4"/>
    <w:rsid w:val="00722569"/>
    <w:rsid w:val="00736801"/>
    <w:rsid w:val="00770311"/>
    <w:rsid w:val="00780AF8"/>
    <w:rsid w:val="00781E2B"/>
    <w:rsid w:val="007B384E"/>
    <w:rsid w:val="007C1E92"/>
    <w:rsid w:val="007D3A98"/>
    <w:rsid w:val="007D7499"/>
    <w:rsid w:val="007E0CE7"/>
    <w:rsid w:val="007E33BC"/>
    <w:rsid w:val="007F7197"/>
    <w:rsid w:val="0083348F"/>
    <w:rsid w:val="00835223"/>
    <w:rsid w:val="00873738"/>
    <w:rsid w:val="008A6D97"/>
    <w:rsid w:val="008C3AF6"/>
    <w:rsid w:val="008F35B1"/>
    <w:rsid w:val="00913486"/>
    <w:rsid w:val="0093445B"/>
    <w:rsid w:val="00945ADE"/>
    <w:rsid w:val="009552CE"/>
    <w:rsid w:val="00962D1E"/>
    <w:rsid w:val="00977D56"/>
    <w:rsid w:val="00984B7F"/>
    <w:rsid w:val="009965A0"/>
    <w:rsid w:val="009A20F7"/>
    <w:rsid w:val="009B5446"/>
    <w:rsid w:val="009C2573"/>
    <w:rsid w:val="009E67ED"/>
    <w:rsid w:val="00A25210"/>
    <w:rsid w:val="00A3422E"/>
    <w:rsid w:val="00A83AAD"/>
    <w:rsid w:val="00A919EF"/>
    <w:rsid w:val="00AA05C3"/>
    <w:rsid w:val="00AA1279"/>
    <w:rsid w:val="00AB1599"/>
    <w:rsid w:val="00AB3A07"/>
    <w:rsid w:val="00AC2054"/>
    <w:rsid w:val="00B023B6"/>
    <w:rsid w:val="00B45353"/>
    <w:rsid w:val="00B7182A"/>
    <w:rsid w:val="00B73D8D"/>
    <w:rsid w:val="00BA396B"/>
    <w:rsid w:val="00BB706E"/>
    <w:rsid w:val="00C41B90"/>
    <w:rsid w:val="00C618E2"/>
    <w:rsid w:val="00C91677"/>
    <w:rsid w:val="00C9330C"/>
    <w:rsid w:val="00D114A0"/>
    <w:rsid w:val="00D24E86"/>
    <w:rsid w:val="00D25CD3"/>
    <w:rsid w:val="00D44DD1"/>
    <w:rsid w:val="00DE01D5"/>
    <w:rsid w:val="00DF79C9"/>
    <w:rsid w:val="00E60CFB"/>
    <w:rsid w:val="00F140A1"/>
    <w:rsid w:val="00F15E2D"/>
    <w:rsid w:val="00F2661C"/>
    <w:rsid w:val="00F311C7"/>
    <w:rsid w:val="00F5374F"/>
    <w:rsid w:val="00F73FD6"/>
    <w:rsid w:val="00F74AA9"/>
    <w:rsid w:val="00FD1DE8"/>
    <w:rsid w:val="28FC148A"/>
    <w:rsid w:val="5E93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6">
    <w:name w:val="Верхний колонтитул Знак"/>
    <w:basedOn w:val="2"/>
    <w:link w:val="4"/>
    <w:uiPriority w:val="99"/>
  </w:style>
  <w:style w:type="character" w:customStyle="1" w:styleId="7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E27A2-7661-453F-A681-DE5CAA9F98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2531</Words>
  <Characters>14429</Characters>
  <Lines>120</Lines>
  <Paragraphs>33</Paragraphs>
  <TotalTime>91</TotalTime>
  <ScaleCrop>false</ScaleCrop>
  <LinksUpToDate>false</LinksUpToDate>
  <CharactersWithSpaces>16927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2024-04-02T08:55:00Z</dcterms:created>
  <dc:creator>Петр Ершов</dc:creator>
  <cp:lastModifiedBy>google1599737165</cp:lastModifiedBy>
  <dcterms:modified xsi:type="dcterms:W3CDTF">2024-04-20T10:08:50Z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DB540BE4AF444327AA06AB44B7687A19_13</vt:lpwstr>
  </property>
</Properties>
</file>