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Многолетняя динамика доли левосторонних особей в популяциях речной камбалы Белого моря</w:t>
      </w:r>
    </w:p>
    <w:p>
      <w:pPr>
        <w:pStyle w:val="7"/>
        <w:spacing w:line="360" w:lineRule="auto"/>
        <w:ind w:firstLine="0"/>
        <w:jc w:val="left"/>
        <w:rPr>
          <w:b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Gennadiy V.Fuks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Peter N.Yershov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*and Vadim M.Khaitov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3,4</w:t>
      </w:r>
    </w:p>
    <w:p>
      <w:pPr>
        <w:spacing w:line="480" w:lineRule="auto"/>
        <w:rPr>
          <w:vertAlign w:val="superscript"/>
          <w:lang w:val="en-US"/>
        </w:rPr>
      </w:pPr>
    </w:p>
    <w:p>
      <w:pPr>
        <w:spacing w:line="360" w:lineRule="auto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Polar branch of the VNIRO (“PINRO” named after N.M.Knipovich), Arkhangelsk, Russia; e-mail: </w:t>
      </w:r>
      <w:r>
        <w:fldChar w:fldCharType="begin"/>
      </w:r>
      <w:r>
        <w:instrText xml:space="preserve"> HYPERLINK "mailto:fuks@pinro.ru" </w:instrText>
      </w:r>
      <w:r>
        <w:fldChar w:fldCharType="separate"/>
      </w:r>
      <w:r>
        <w:rPr>
          <w:rStyle w:val="5"/>
          <w:lang w:val="en-US"/>
        </w:rPr>
        <w:t>fuks@pinro.ru</w:t>
      </w:r>
      <w:r>
        <w:rPr>
          <w:rStyle w:val="5"/>
          <w:lang w:val="en-US"/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Zoological Institute of the Russian Academy of Sciences, Universitetskaya nab. 1, 199034 Saint Petersburg, Russia; e-mail: </w:t>
      </w:r>
      <w:r>
        <w:fldChar w:fldCharType="begin"/>
      </w:r>
      <w:r>
        <w:instrText xml:space="preserve"> HYPERLINK "mailto:peteryershov@yandex.ru"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peteryershov@yandex.ru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rPr>
          <w:rStyle w:val="1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 of Invertebrate Zoology, Saint-Petersburg State University, Universitetskaya nab. 7-9, 199034 Saint-Petersburg,   Russia; e-mail: </w:t>
      </w:r>
      <w:r>
        <w:fldChar w:fldCharType="begin"/>
      </w:r>
      <w:r>
        <w:instrText xml:space="preserve"> HYPERLINK "mailto:polydora@rambler.ru"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polydora@rambler.ru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Kandalaksha State Nature Reserve, Lineynaya 35, Kandalaksha, 184942 Murmansk Region, Russia </w:t>
      </w:r>
    </w:p>
    <w:p>
      <w:pPr>
        <w:pStyle w:val="7"/>
        <w:spacing w:line="360" w:lineRule="auto"/>
        <w:ind w:firstLine="0"/>
        <w:jc w:val="left"/>
        <w:rPr>
          <w:lang w:val="en-US"/>
        </w:rPr>
      </w:pPr>
    </w:p>
    <w:p>
      <w:pPr>
        <w:pStyle w:val="7"/>
        <w:spacing w:line="360" w:lineRule="auto"/>
        <w:ind w:firstLine="0"/>
        <w:jc w:val="left"/>
      </w:pPr>
      <w:r>
        <w:rPr>
          <w:lang w:val="en-US"/>
        </w:rPr>
        <w:t>ABSTRACT</w:t>
      </w:r>
    </w:p>
    <w:p>
      <w:pPr>
        <w:pStyle w:val="7"/>
        <w:spacing w:line="360" w:lineRule="auto"/>
        <w:ind w:firstLine="0"/>
        <w:jc w:val="left"/>
      </w:pPr>
      <w:r>
        <w:t xml:space="preserve">Исследована межгодовая изменчивость доли левосторонних рыб в популяциях речной камбалы из Онежского (2002-2019 гг.), Мезенского (2010-2016 гг.) и Двинского (2005-2019 гг.) заливов Белого моря. Показано, что статистически достоверные закономерные изменения признака в популяциях отсутствуют.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постоянными.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40-60 лет. Полученные результаты свидетельствуют о важности такого морфологического признака, как пропорции левосторонних морф, для анализа популяционной дифференциации речной камбалы в Белом море.  </w:t>
      </w:r>
    </w:p>
    <w:p>
      <w:pPr>
        <w:pStyle w:val="7"/>
        <w:spacing w:line="360" w:lineRule="auto"/>
        <w:ind w:firstLine="426"/>
        <w:jc w:val="left"/>
      </w:pPr>
    </w:p>
    <w:p>
      <w:pPr>
        <w:pStyle w:val="7"/>
        <w:spacing w:line="360" w:lineRule="auto"/>
        <w:ind w:firstLine="0"/>
        <w:jc w:val="left"/>
        <w:rPr>
          <w:lang w:val="en-US"/>
        </w:rPr>
      </w:pPr>
      <w:r>
        <w:rPr>
          <w:b/>
          <w:lang w:val="en-US"/>
        </w:rPr>
        <w:t xml:space="preserve">Key words: </w:t>
      </w:r>
      <w:r>
        <w:rPr>
          <w:lang w:val="en-US"/>
        </w:rPr>
        <w:t>flounder, left-sided morph, long-term population dynamics, White Sea</w:t>
      </w:r>
    </w:p>
    <w:p>
      <w:pPr>
        <w:pStyle w:val="7"/>
        <w:spacing w:line="360" w:lineRule="auto"/>
        <w:ind w:firstLine="0"/>
        <w:jc w:val="left"/>
        <w:rPr>
          <w:lang w:val="en-US"/>
        </w:rPr>
      </w:pPr>
    </w:p>
    <w:p>
      <w:pPr>
        <w:pStyle w:val="7"/>
        <w:spacing w:line="360" w:lineRule="auto"/>
        <w:jc w:val="left"/>
        <w:rPr>
          <w:lang w:val="en-US"/>
        </w:rPr>
      </w:pPr>
      <w:r>
        <w:rPr>
          <w:lang w:val="en-US"/>
        </w:rPr>
        <w:t>Submitted</w:t>
      </w:r>
    </w:p>
    <w:p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Corresponding author/</w:t>
      </w:r>
      <w:r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корреспондент</w:t>
      </w:r>
    </w:p>
    <w:p>
      <w:pPr>
        <w:pStyle w:val="7"/>
        <w:spacing w:line="360" w:lineRule="auto"/>
        <w:jc w:val="left"/>
        <w:rPr>
          <w:b/>
          <w:lang w:val="en-US"/>
        </w:rPr>
      </w:pPr>
      <w:r>
        <w:rPr>
          <w:b/>
          <w:lang w:val="en-US"/>
        </w:rPr>
        <w:t>INTRODUCTION</w:t>
      </w:r>
    </w:p>
    <w:p>
      <w:pPr>
        <w:pStyle w:val="7"/>
        <w:spacing w:line="360" w:lineRule="auto"/>
        <w:jc w:val="left"/>
        <w:rPr>
          <w:b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камбала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(Linnaeus, 1758)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типичным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ихтиофауны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Белого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моря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(Altukhov et al. 1958). </w:t>
      </w:r>
      <w:r>
        <w:rPr>
          <w:rFonts w:ascii="Times New Roman" w:hAnsi="Times New Roman" w:cs="Times New Roman"/>
          <w:sz w:val="24"/>
          <w:szCs w:val="24"/>
        </w:rPr>
        <w:t>В Белом море этот вид обитает в мелководной прибрежно-шельфовой зоне, образуя локальные популяции и экологические группировки в разных заливах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Sherstkov</w:t>
      </w:r>
      <w:r>
        <w:rPr>
          <w:rFonts w:ascii="Times New Roman" w:hAnsi="Times New Roman" w:cs="Times New Roman"/>
          <w:sz w:val="24"/>
          <w:szCs w:val="24"/>
        </w:rPr>
        <w:t xml:space="preserve"> 2005;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). Между популяциями камбал из разных заливов Белого моря обнаружены отличия по скорости роста, возрасту наступления половозрелости, возрастной структуре, некоторым морфологическим признакам, паразитофауне и т.д.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Shatunovsky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Chestnova</w:t>
      </w:r>
      <w:r>
        <w:rPr>
          <w:rFonts w:ascii="Times New Roman" w:hAnsi="Times New Roman" w:cs="Times New Roman"/>
          <w:sz w:val="24"/>
          <w:szCs w:val="24"/>
        </w:rPr>
        <w:t xml:space="preserve"> 1970;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Matvienko</w:t>
      </w:r>
      <w:r>
        <w:rPr>
          <w:rFonts w:ascii="Times New Roman" w:hAnsi="Times New Roman" w:cs="Times New Roman"/>
          <w:sz w:val="24"/>
          <w:szCs w:val="24"/>
        </w:rPr>
        <w:t xml:space="preserve"> 2018;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2019b). В отношении пропорций левосторонних особей имеющиеся литературные данные также свидетельствуют о популяционных отличиях камбалы из разных заливов Белого моря (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2015). Вместе с тем, остается невыясненным вопрос о межгодовой изменчивости 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(временной стабильности, стабильности во времени 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etc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данного признака в локальных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sz w:val="24"/>
          <w:szCs w:val="24"/>
        </w:rPr>
        <w:t xml:space="preserve"> и ее возможном влиянии на уровень наблюдаемых межпопуляционных отличий. Кроме того, выяснение многолетней и межгодовой динамики признака в отдельных популяциях позволит судить о его значении для анализа популяционной структуры вида в регионе. Целью исследования являлось изучение межгодовой и многолетней изменчивости доли левосторонних особей в популяциях речной камбалы из Онежского, Двинского и Мезенского заливов Белого моря.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MATERIALS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METHODS</w:t>
      </w:r>
    </w:p>
    <w:p>
      <w:pPr>
        <w:pStyle w:val="7"/>
        <w:spacing w:line="360" w:lineRule="auto"/>
        <w:ind w:firstLine="0"/>
        <w:jc w:val="left"/>
        <w:rPr>
          <w:b/>
        </w:rPr>
      </w:pP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межгодовой изменчивости соотношения морф были использованы сборы речной камбалы, проведенные в Онежском (2002-2019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4717</w:t>
      </w:r>
      <w:r>
        <w:rPr>
          <w:rFonts w:hint="default" w:ascii="Times New Roman" w:hAnsi="Times New Roman" w:cs="Times New Roman"/>
          <w:strike/>
          <w:dstrike w:val="0"/>
          <w:sz w:val="24"/>
          <w:szCs w:val="24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yellow"/>
        </w:rPr>
        <w:t>4795</w:t>
      </w:r>
      <w:r>
        <w:rPr>
          <w:rFonts w:ascii="Times New Roman" w:hAnsi="Times New Roman" w:cs="Times New Roman"/>
          <w:sz w:val="24"/>
          <w:szCs w:val="24"/>
        </w:rPr>
        <w:t xml:space="preserve">; р.Нюхча, кутовая часть залива), Двинском (2005-2019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=4717; устье р.Северная Двина) и Мезенском (2010-2016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=2267; устье р.Мезень) заливах Белого моря в ходе регулярных полевых исследований Полярного филиала ФГБНУ «ВНИРО» (сборы Фукс Г.В. и других сотрудников). Ввиду отсутствия достоверных различий по размерно-возрастному составу и пропорциям морф две выборки из Онежского залива были объединены в один массив данных.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</w:t>
      </w:r>
      <w:r>
        <w:rPr>
          <w:rFonts w:ascii="Times New Roman" w:hAnsi="Times New Roman" w:cs="Times New Roman"/>
          <w:sz w:val="24"/>
          <w:szCs w:val="24"/>
          <w:highlight w:val="yellow"/>
        </w:rPr>
        <w:t>Поскольку ранее было показано, что между самцами и самками отсутствуют различия по доле реверсивных особей, все сравнения выборок были проведены на смешанном материале.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 w:val="0"/>
          <w:dstrike w:val="0"/>
          <w:sz w:val="24"/>
          <w:szCs w:val="24"/>
        </w:rPr>
        <w:t xml:space="preserve">Пол рыб был установлен визуально после их вскрытия. 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>У всех свежевыловленных камбал определяли общую длину тела (</w:t>
      </w:r>
      <w:r>
        <w:rPr>
          <w:rFonts w:ascii="Times New Roman" w:hAnsi="Times New Roman" w:cs="Times New Roman"/>
          <w:strike/>
          <w:dstrike w:val="0"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dstrike w:val="0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>) с точностью до 0.1 см. Возраст рыб определяли по отолитам методом слома и обжига (</w:t>
      </w:r>
      <w:r>
        <w:rPr>
          <w:rFonts w:ascii="Times New Roman" w:hAnsi="Times New Roman" w:cs="Times New Roman"/>
          <w:strike/>
          <w:dstrike w:val="0"/>
          <w:sz w:val="24"/>
          <w:szCs w:val="24"/>
          <w:lang w:val="en-US"/>
        </w:rPr>
        <w:t>Christensen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trike/>
          <w:dstrike w:val="0"/>
          <w:sz w:val="24"/>
          <w:szCs w:val="24"/>
          <w:lang w:val="en-US"/>
        </w:rPr>
        <w:t>Chilton</w:t>
      </w:r>
      <w:r>
        <w:rPr>
          <w:rFonts w:ascii="Times New Roman" w:hAnsi="Times New Roman" w:cs="Times New Roman"/>
          <w:strike/>
          <w:dstrike w:val="0"/>
          <w:sz w:val="24"/>
          <w:szCs w:val="24"/>
        </w:rPr>
        <w:t xml:space="preserve"> 1982; Фукс 2015). Отолит разламывали пополам через ядро, прокаливали, просматривали в падающем свете в капле воды под микроскопом МБС-10. 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Из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 анализа были исключены выборки из Онежского залива, собранные в 2006 и 2010 гг, так как их объем был слишком мал (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35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,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 xml:space="preserve"> 44 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особи, соответственно).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многолетней изменчивости пропорций морф в популяциях камбалы Белого моря были использованы как опубликованные сведения (Николаев 1949; Микельсаар 1958; 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2009), так и наши оригинальные данные по Онежскому заливу. 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Многолетние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 изменения - это на временном промежутке больше чем 20 лет. Разве в статье есть какие-то неопубликованные данные такого сорта?</w:t>
      </w:r>
    </w:p>
    <w:p>
      <w:pPr>
        <w:pStyle w:val="7"/>
        <w:spacing w:line="360" w:lineRule="auto"/>
        <w:ind w:firstLine="0"/>
        <w:jc w:val="left"/>
      </w:pPr>
      <w:r>
        <w:t>Для выявления многолетних направленных трендов в частоте встречаемости левосторонних рыб была построена логистическая регрессионная модель, в которой зависимой переменной была вероятность принадлежности особи к левосторонней морфе. В качестве предикторов в модели выступал год отлова (непрерывная величина) и акватория (категориальный предиктор с тремя градациями). В соответствии с протоколом подбора оптимальной модели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 2009), взаимодействие предикторов было исключено из модели, как статистически незначимое. Модель проверяли на избыточность дисперсии и на отсутствие нелинейных паттернов в остатках. Расчеты проводились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</w:t>
      </w:r>
      <w:r>
        <w:rPr>
          <w:rFonts w:hint="default"/>
          <w:lang w:val="ru-RU"/>
        </w:rPr>
        <w:t xml:space="preserve"> </w:t>
      </w:r>
      <w:r>
        <w:t xml:space="preserve"> 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RESULTS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DISCUSSION</w:t>
      </w: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</w:rPr>
        <w:t>Межгодовая изменчивость</w:t>
      </w:r>
    </w:p>
    <w:p>
      <w:pPr>
        <w:pStyle w:val="7"/>
        <w:spacing w:line="360" w:lineRule="auto"/>
        <w:ind w:firstLine="0"/>
        <w:jc w:val="left"/>
      </w:pPr>
      <w:r>
        <w:t xml:space="preserve">Межгодовая динамика частоты встречаемости левосторонних особей в Онежском, Двинском и Мезенском заливах приведена на рисунке 1. В Онежском заливе значения данной величины варьировали от </w:t>
      </w:r>
      <w:r>
        <w:rPr>
          <w:highlight w:val="green"/>
        </w:rPr>
        <w:t>0</w:t>
      </w:r>
      <w:r>
        <w:rPr>
          <w:rFonts w:hint="default"/>
          <w:highlight w:val="green"/>
          <w:lang w:val="en-US"/>
        </w:rPr>
        <w:t>.13</w:t>
      </w:r>
      <w:r>
        <w:rPr>
          <w:highlight w:val="green"/>
        </w:rPr>
        <w:t xml:space="preserve"> до 0.</w:t>
      </w:r>
      <w:r>
        <w:rPr>
          <w:rFonts w:hint="default"/>
          <w:highlight w:val="green"/>
          <w:lang w:val="en-US"/>
        </w:rPr>
        <w:t>26</w:t>
      </w:r>
      <w:r>
        <w:t xml:space="preserve"> (</w:t>
      </w:r>
      <w:r>
        <w:rPr>
          <w:highlight w:val="green"/>
        </w:rPr>
        <w:t>0.2</w:t>
      </w:r>
      <w:r>
        <w:rPr>
          <w:rFonts w:hint="default"/>
          <w:highlight w:val="green"/>
          <w:lang w:val="en-US"/>
        </w:rPr>
        <w:t>1</w:t>
      </w:r>
      <w:r>
        <w:rPr>
          <w:highlight w:val="green"/>
        </w:rPr>
        <w:t xml:space="preserve"> ± 0.0</w:t>
      </w:r>
      <w:r>
        <w:rPr>
          <w:rFonts w:hint="default"/>
          <w:highlight w:val="green"/>
          <w:lang w:val="en-US"/>
        </w:rPr>
        <w:t>31</w:t>
      </w:r>
      <w:r>
        <w:rPr>
          <w:highlight w:val="yellow"/>
        </w:rPr>
        <w:t>, многолетняя средняя ±</w:t>
      </w:r>
      <w:r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стандартное отклонение), </w:t>
      </w:r>
      <w:r>
        <w:t>в Двинском – от 0.02 до 0.07 (0.05 ± 0.013), в Мезенском – от 0.01 до 0.07 (0.04 ± 0.018). Можно заметить, что линии регрессии, описывающие динамику признака в трех исследованных заливах, идут практически параллельно оси абсцисс. Угловой коэффициент, описывающий связь между частотой встречаемости левосторонних рыб и годом вылова, не отличался статистически значимо от нуля (</w:t>
      </w:r>
      <w:r>
        <w:rPr>
          <w:i/>
          <w:lang w:val="en-US"/>
        </w:rPr>
        <w:t>p</w:t>
      </w:r>
      <w:r>
        <w:t xml:space="preserve">=0.694, табл. 1), что свидетельствует об отсутствии многолетних направленных трендов в изменении рассматриваемого признака в исследованные временные периоды. Незначительные межгодовые колебания признака относительно среднемноголетней его величины в каждой исследованной популяции, по нашему мнению, связаны прежде всего с разным объемом выборок. </w:t>
      </w:r>
      <w:r>
        <w:rPr>
          <w:highlight w:val="yellow"/>
        </w:rPr>
        <w:t>Возможное влияние соотношение полов в выборках не анализировалось, поскольку ранее было показано отсутствие различий между самцами и самками по доле реверсивных особей у камбалы Белого моря (Семушин и др., 2015).</w:t>
      </w:r>
      <w:r>
        <w:t xml:space="preserve"> </w:t>
      </w: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</w:rPr>
        <w:t>Многолетняя изменчивость</w:t>
      </w:r>
    </w:p>
    <w:p>
      <w:pPr>
        <w:pStyle w:val="7"/>
        <w:spacing w:line="360" w:lineRule="auto"/>
        <w:ind w:firstLine="0"/>
        <w:jc w:val="left"/>
      </w:pPr>
      <w:r>
        <w:t xml:space="preserve">Исследование многолетней изменчивости признака показало,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(рис.1). Так, доля реверсивных особей у камбалы из района Великой Салмы (Кандалакшский залив) была сходна (χ2=0.44, </w:t>
      </w:r>
      <w:r>
        <w:rPr>
          <w:i/>
          <w:lang w:val="en-US"/>
        </w:rPr>
        <w:t>p</w:t>
      </w:r>
      <w:r>
        <w:t xml:space="preserve">&gt;0.05; наши расчеты) в выборках, полученных с интервалом более 40 лет (Шатуновский 1964; </w:t>
      </w:r>
      <w:r>
        <w:rPr>
          <w:lang w:val="en-US"/>
        </w:rPr>
        <w:t>Dietrich</w:t>
      </w:r>
      <w:r>
        <w:t xml:space="preserve"> 2009). Левосторонние камбалы в Онежском заливе в настоящее время встречаются также часто, как и более полувека назад (Николаев 1949; Микельсаар 1958; наши данные). Наблюдаемые несколько более высокие значения признака в опубликованных ранее данных по Онежскому заливу могут быть связаны с различиями состава и объема выборок. Вместе с тем следует заметить, что они находятся в пределах межгодового варьирования частоты встречаемости левосторонних особей, выявленного для нашего материала. </w:t>
      </w:r>
      <w:r>
        <w:rPr>
          <w:highlight w:val="yellow"/>
        </w:rPr>
        <w:t xml:space="preserve">Рассмотрение многолетних изменений показывает, что несмотря на межгодовую изменчивость доли реверсивных особей в популяциях, камбалы из Двинского и Мезенского заливов демонстрируют значительные отличия по доле реверсивных особей от камбал, обитающих в Кандалакшском и Онежском заливах. </w:t>
      </w:r>
    </w:p>
    <w:p>
      <w:pPr>
        <w:pStyle w:val="10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Таблица 1. Параметры модели, описывающей многолетние изменения частоты встречаемости левосторонних рыб в разных популяциях речной камбалы Белого моря.  Parameters of model fitted</w:t>
      </w:r>
    </w:p>
    <w:tbl>
      <w:tblPr>
        <w:tblStyle w:val="12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56"/>
        <w:gridCol w:w="1563"/>
        <w:gridCol w:w="1743"/>
        <w:gridCol w:w="15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Model term</w:t>
            </w:r>
          </w:p>
        </w:tc>
        <w:tc>
          <w:p>
            <w:pPr>
              <w:pStyle w:val="11"/>
              <w:jc w:val="right"/>
            </w:pPr>
            <w:r>
              <w:t>Parameter</w:t>
            </w:r>
          </w:p>
        </w:tc>
        <w:tc>
          <w:p>
            <w:pPr>
              <w:pStyle w:val="11"/>
              <w:jc w:val="right"/>
            </w:pPr>
            <w:r>
              <w:t>SE</w:t>
            </w:r>
          </w:p>
        </w:tc>
        <w:tc>
          <w:p>
            <w:pPr>
              <w:pStyle w:val="11"/>
              <w:jc w:val="right"/>
            </w:pPr>
            <w:r>
              <w:t>Z-statistic</w:t>
            </w:r>
          </w:p>
        </w:tc>
        <w:tc>
          <w:p>
            <w:pPr>
              <w:pStyle w:val="11"/>
              <w:jc w:val="right"/>
            </w:pPr>
            <w: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(Intercept)</w:t>
            </w:r>
          </w:p>
        </w:tc>
        <w:tc>
          <w:p>
            <w:pPr>
              <w:pStyle w:val="11"/>
              <w:jc w:val="right"/>
            </w:pPr>
            <w:r>
              <w:t>4.0157</w:t>
            </w:r>
          </w:p>
        </w:tc>
        <w:tc>
          <w:p>
            <w:pPr>
              <w:pStyle w:val="11"/>
              <w:jc w:val="right"/>
            </w:pPr>
            <w:r>
              <w:t>12.1950</w:t>
            </w:r>
          </w:p>
        </w:tc>
        <w:tc>
          <w:p>
            <w:pPr>
              <w:pStyle w:val="11"/>
              <w:jc w:val="right"/>
            </w:pPr>
            <w:r>
              <w:t>0.3293</w:t>
            </w:r>
          </w:p>
        </w:tc>
        <w:tc>
          <w:p>
            <w:pPr>
              <w:pStyle w:val="11"/>
              <w:jc w:val="right"/>
            </w:pPr>
            <w:r>
              <w:t>0.7419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Year</w:t>
            </w:r>
          </w:p>
        </w:tc>
        <w:tc>
          <w:p>
            <w:pPr>
              <w:pStyle w:val="11"/>
              <w:jc w:val="right"/>
            </w:pPr>
            <w:r>
              <w:t>-0.0035</w:t>
            </w:r>
          </w:p>
        </w:tc>
        <w:tc>
          <w:p>
            <w:pPr>
              <w:pStyle w:val="11"/>
              <w:jc w:val="right"/>
            </w:pPr>
            <w:r>
              <w:t>0.0061</w:t>
            </w:r>
          </w:p>
        </w:tc>
        <w:tc>
          <w:p>
            <w:pPr>
              <w:pStyle w:val="11"/>
              <w:jc w:val="right"/>
            </w:pPr>
            <w:r>
              <w:t>-0.5725</w:t>
            </w:r>
          </w:p>
        </w:tc>
        <w:tc>
          <w:p>
            <w:pPr>
              <w:pStyle w:val="11"/>
              <w:jc w:val="right"/>
            </w:pPr>
            <w:r>
              <w:t>0.5670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Bay</w:t>
            </w:r>
            <w:r>
              <w:rPr>
                <w:vertAlign w:val="subscript"/>
              </w:rPr>
              <w:t>Mezen</w:t>
            </w:r>
          </w:p>
        </w:tc>
        <w:tc>
          <w:p>
            <w:pPr>
              <w:pStyle w:val="11"/>
              <w:jc w:val="right"/>
            </w:pPr>
            <w:r>
              <w:t>-0.4078</w:t>
            </w:r>
          </w:p>
        </w:tc>
        <w:tc>
          <w:p>
            <w:pPr>
              <w:pStyle w:val="11"/>
              <w:jc w:val="right"/>
            </w:pPr>
            <w:r>
              <w:t>0.1354</w:t>
            </w:r>
          </w:p>
        </w:tc>
        <w:tc>
          <w:p>
            <w:pPr>
              <w:pStyle w:val="11"/>
              <w:jc w:val="right"/>
            </w:pPr>
            <w:r>
              <w:t>-3.0108</w:t>
            </w:r>
          </w:p>
        </w:tc>
        <w:tc>
          <w:p>
            <w:pPr>
              <w:pStyle w:val="11"/>
              <w:jc w:val="right"/>
            </w:pPr>
            <w:r>
              <w:t>0.0026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Bay</w:t>
            </w:r>
            <w:bookmarkStart w:id="1" w:name="_GoBack"/>
            <w:r>
              <w:rPr>
                <w:vertAlign w:val="subscript"/>
              </w:rPr>
              <w:t>Onega</w:t>
            </w:r>
            <w:bookmarkEnd w:id="1"/>
          </w:p>
        </w:tc>
        <w:tc>
          <w:p>
            <w:pPr>
              <w:pStyle w:val="11"/>
              <w:jc w:val="right"/>
            </w:pPr>
            <w:r>
              <w:t>1.6371</w:t>
            </w:r>
          </w:p>
        </w:tc>
        <w:tc>
          <w:p>
            <w:pPr>
              <w:pStyle w:val="11"/>
              <w:jc w:val="right"/>
            </w:pPr>
            <w:r>
              <w:t>0.0775</w:t>
            </w:r>
          </w:p>
        </w:tc>
        <w:tc>
          <w:p>
            <w:pPr>
              <w:pStyle w:val="11"/>
              <w:jc w:val="right"/>
            </w:pPr>
            <w:r>
              <w:t>21.1227</w:t>
            </w:r>
          </w:p>
        </w:tc>
        <w:tc>
          <w:p>
            <w:pPr>
              <w:pStyle w:val="11"/>
              <w:jc w:val="right"/>
            </w:pPr>
            <w:r>
              <w:t>0.0000</w:t>
            </w:r>
          </w:p>
        </w:tc>
      </w:tr>
    </w:tbl>
    <w:p>
      <w:pPr>
        <w:pStyle w:val="10"/>
        <w:spacing w:line="360" w:lineRule="auto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Многолетняя и межгодовая изменчивость доли левосторонних особей в популяциях речной камбалы из разных заливов Белого моря. Символами показаны частоты левосторонних особей в популяциях из разных заливов в разные годы наблюдений. Серая область вокруг линий регрессии отражает 95% доверительный интервал. Усы отражают доверительные интервалы для частот левосторонних камбал (по литературным данным). Источники данных: 1 – Микельсаар 1958; 2 – Николаев 1949; 3, 5 –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4 – Шатуновский 1964.</w:t>
      </w:r>
    </w:p>
    <w:p>
      <w:pPr>
        <w:spacing w:line="360" w:lineRule="auto"/>
        <w:rPr>
          <w:rFonts w:ascii="Times New Roman" w:hAnsi="Times New Roman" w:cs="Times New Roman"/>
          <w:strike/>
          <w:dstrike w:val="0"/>
          <w:sz w:val="24"/>
          <w:szCs w:val="24"/>
          <w:highlight w:val="green"/>
        </w:rPr>
      </w:pP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</w:rPr>
        <w:t xml:space="preserve">Рисунок 2. Возрастной состав уловов речной камбалы в разных заливах Белого моря в разные годы. Горизонтальная линия отражает медиану возраста в выборке, границы боксов соответствуют значениям 1 и 3 квартилей, размер усов соответствует 1.5 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  <w:lang w:val="en-US"/>
        </w:rPr>
        <w:t>IQR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</w:rPr>
        <w:t xml:space="preserve"> (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  <w:lang w:val="en-US"/>
        </w:rPr>
        <w:t>interquartile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  <w:lang w:val="en-US"/>
        </w:rPr>
        <w:t>range</w:t>
      </w:r>
      <w:r>
        <w:rPr>
          <w:rFonts w:ascii="Times New Roman" w:hAnsi="Times New Roman" w:cs="Times New Roman"/>
          <w:strike/>
          <w:dstrike w:val="0"/>
          <w:sz w:val="24"/>
          <w:szCs w:val="24"/>
          <w:highlight w:val="green"/>
        </w:rPr>
        <w:t xml:space="preserve">), точками представлены отскакивающие значения.  </w:t>
      </w:r>
    </w:p>
    <w:p>
      <w:pPr>
        <w:spacing w:line="360" w:lineRule="auto"/>
        <w:rPr>
          <w:rFonts w:ascii="Times New Roman" w:hAnsi="Times New Roman" w:cs="Times New Roman"/>
          <w:strike/>
          <w:dstrike w:val="0"/>
          <w:sz w:val="24"/>
          <w:szCs w:val="24"/>
          <w:highlight w:val="gree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Исследований межгодовой изменчивости соотношения морф в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разных участков ареала ранее не проводилось. Некоторые сведения можно обнаружить в работе Микельсаара (1958) по речной камбале Балтийского моря, обитающей у побережья Эстонии. Так, по его данным, доля левосторонних особей в прибрежных уловах в районе реки .Пудисоо в период 1942-1946 гг. была сходной и варьировала в узком диапазоне от 32,2 до 35,5%.  Следует заметить, что у близкородственного вида - звездчатой камбалы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stellatus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Pallas</w:t>
      </w:r>
      <w:r>
        <w:rPr>
          <w:rFonts w:ascii="Times New Roman" w:hAnsi="Times New Roman" w:cs="Times New Roman"/>
          <w:sz w:val="24"/>
          <w:szCs w:val="24"/>
        </w:rPr>
        <w:t xml:space="preserve"> 1787), обитающей в северной Пацифике, межгодовой изменчивости по доле реверсивных особей также не было отмечено (</w:t>
      </w:r>
      <w:r>
        <w:rPr>
          <w:rFonts w:ascii="Times New Roman" w:hAnsi="Times New Roman" w:cs="Times New Roman"/>
          <w:sz w:val="24"/>
          <w:szCs w:val="24"/>
          <w:lang w:val="en-US"/>
        </w:rPr>
        <w:t>Forrester</w:t>
      </w:r>
      <w:r>
        <w:rPr>
          <w:rFonts w:ascii="Times New Roman" w:hAnsi="Times New Roman" w:cs="Times New Roman"/>
          <w:sz w:val="24"/>
          <w:szCs w:val="24"/>
        </w:rPr>
        <w:t xml:space="preserve"> 1969; </w:t>
      </w:r>
      <w:r>
        <w:rPr>
          <w:rFonts w:ascii="Times New Roman" w:hAnsi="Times New Roman" w:cs="Times New Roman"/>
          <w:sz w:val="24"/>
          <w:szCs w:val="24"/>
          <w:lang w:val="en-US"/>
        </w:rPr>
        <w:t>Bergstrom</w:t>
      </w:r>
      <w:r>
        <w:rPr>
          <w:rFonts w:ascii="Times New Roman" w:hAnsi="Times New Roman" w:cs="Times New Roman"/>
          <w:sz w:val="24"/>
          <w:szCs w:val="24"/>
        </w:rPr>
        <w:t xml:space="preserve"> 2007).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том, что доля левосторонних особей является популяционной характеристикой, которая наряду с другими признаками отражает своеобразие и степень дивергенции локальных популяций камбалы в Белом море. Межпопуляционное разнообразие речной камбалы по соотношению фенотипических морф, в свою очередь, свидетельствует о специфике локальных факторов и механизмов, поддерживающих его на определенном уровне в разных заливах Белого моря.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>
      <w:pPr>
        <w:pStyle w:val="8"/>
        <w:spacing w:line="360" w:lineRule="auto"/>
        <w:rPr>
          <w:sz w:val="22"/>
          <w:szCs w:val="22"/>
          <w:lang w:val="en-US"/>
        </w:rPr>
      </w:pPr>
      <w:r>
        <w:rPr>
          <w:lang w:val="en-US"/>
        </w:rPr>
        <w:t xml:space="preserve">We are grateful to the staff of the Coastal Research Laboratory of the Polar branch of FSBI “VNIRO” for their help in collecting data during expeditions. </w:t>
      </w:r>
      <w:r>
        <w:rPr>
          <w:color w:val="000000"/>
          <w:lang w:val="en-US"/>
        </w:rPr>
        <w:t xml:space="preserve">This work was carried out as part of the State Task of the Zoological Institute RAS (state registration number no. </w:t>
      </w:r>
      <w:r>
        <w:rPr>
          <w:color w:val="000000"/>
        </w:rPr>
        <w:t>АААА</w:t>
      </w:r>
      <w:r>
        <w:rPr>
          <w:color w:val="000000"/>
          <w:lang w:val="en-US"/>
        </w:rPr>
        <w:t>-</w:t>
      </w:r>
      <w:r>
        <w:rPr>
          <w:color w:val="000000"/>
        </w:rPr>
        <w:t>А</w:t>
      </w:r>
      <w:r>
        <w:rPr>
          <w:rStyle w:val="17"/>
          <w:color w:val="000000"/>
          <w:lang w:val="en-US"/>
        </w:rPr>
        <w:t>19-119022690122-5</w:t>
      </w:r>
      <w:r>
        <w:rPr>
          <w:color w:val="000000"/>
          <w:lang w:val="en-US"/>
        </w:rPr>
        <w:t>).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NewRoman" w:cs="Times New Roman"/>
          <w:b/>
          <w:iCs/>
          <w:sz w:val="24"/>
          <w:szCs w:val="24"/>
          <w:lang w:val="en-US"/>
        </w:rPr>
        <w:t xml:space="preserve">Altukhov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ikhailovskaya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Mukhomediyarov F.B., Nadezhin V.M., Novikov P.I. and Palenichko Z.G.</w:t>
      </w:r>
      <w:r>
        <w:rPr>
          <w:rFonts w:ascii="Times New Roman" w:hAnsi="Times New Roman" w:eastAsia="TimesNewRoman" w:cs="Times New Roman"/>
          <w:b/>
          <w:iCs/>
          <w:sz w:val="24"/>
          <w:szCs w:val="24"/>
          <w:lang w:val="en-US"/>
        </w:rPr>
        <w:t xml:space="preserve"> 1958.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Fishes of the White Sea</w:t>
      </w:r>
      <w:r>
        <w:rPr>
          <w:rFonts w:ascii="Times New Roman" w:hAnsi="Times New Roman" w:cs="Times New Roman"/>
          <w:sz w:val="24"/>
          <w:szCs w:val="24"/>
          <w:lang w:val="en-US"/>
        </w:rPr>
        <w:t>. Gos.izd-vo Karel.ASSR, Petrozavodsk, 162 p.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Bergstrom C. A. 2007.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Morphological evidence of correlational selection and ecological segregation between dextral and sinistral forms in a polymorphic flatfish,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stellatus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Journal of Evolutionary Biology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20: 1104–1114. </w:t>
      </w:r>
      <w:r>
        <w:fldChar w:fldCharType="begin"/>
      </w:r>
      <w:r>
        <w:instrText xml:space="preserve"> HYPERLINK "https://doi.org/10.1111/j.1420-9101.2006.01290"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https://doi.org/10.1111/j.1420-9101.2006.01290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Chilton D. E. and Beamish R. J. 1982.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Age determination methods for fishes studied by the groundfish program at the Pacific Biological Station.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Canadian Special Publication of Fisheries and Aquatic Sciences</w:t>
      </w:r>
      <w:r>
        <w:rPr>
          <w:rFonts w:ascii="Times New Roman" w:hAnsi="Times New Roman" w:cs="Times New Roman"/>
          <w:sz w:val="24"/>
          <w:szCs w:val="24"/>
          <w:lang w:val="en-US"/>
        </w:rPr>
        <w:t>, 60: 102 p.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Christensen J. M. 1964.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Burning otoliths, a technique for age determination of soles and other fish.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J. Cons. Perm. int. Explor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. 29: 73–81.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Dietrich R.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Populationsökologie der Plattfische (Familie Pleuronectidae) im Küsten- und Ästuarbereich des Weißen Meeres: Dissertation am Inst.Biowis. der Mathem.Natur. 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Fuks G.V. 2015.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determining the age of the river flounder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otoliths in the north-western regions of the Russian arctic seas.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</w:t>
      </w:r>
      <w:r>
        <w:rPr>
          <w:rFonts w:ascii="Times New Roman" w:hAnsi="Times New Roman" w:cs="Times New Roman"/>
          <w:sz w:val="24"/>
          <w:szCs w:val="24"/>
          <w:lang w:val="en-US"/>
        </w:rPr>
        <w:t>, X(17): 27-30. [In Russian].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Mikelsaar N. 1958.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equalized scales. In: Hydrobiological investigations. Tartu: Izd. Akad. Nauk ESSR, Issue 1: 286-312.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Nikolaev A.P. 1949.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biology of European flounder from the Kuz Inlet.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Proceedings of the Karel.branch AS USSR</w:t>
      </w:r>
      <w:r>
        <w:rPr>
          <w:rFonts w:ascii="Times New Roman" w:hAnsi="Times New Roman" w:cs="Times New Roman"/>
          <w:sz w:val="24"/>
          <w:szCs w:val="24"/>
          <w:lang w:val="en-US"/>
        </w:rPr>
        <w:t>, 4: 43–51. 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ref-R_2019"/>
      <w:r>
        <w:rPr>
          <w:rFonts w:ascii="Times New Roman" w:hAnsi="Times New Roman" w:cs="Times New Roman"/>
          <w:sz w:val="24"/>
          <w:szCs w:val="24"/>
          <w:lang w:val="en-US"/>
        </w:rPr>
        <w:t xml:space="preserve">R Core Team. 2020.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R: A language and environment for statistical computing</w:t>
      </w:r>
      <w:r>
        <w:rPr>
          <w:rFonts w:ascii="Times New Roman" w:hAnsi="Times New Roman" w:cs="Times New Roman"/>
          <w:sz w:val="24"/>
          <w:szCs w:val="24"/>
          <w:lang w:val="en-US"/>
        </w:rPr>
        <w:t>. R Foundation for Statistical Computing, Vienna, Austria.</w:t>
      </w:r>
    </w:p>
    <w:bookmarkEnd w:id="0"/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Semushin A.V., Fuks G.V. and Shilova N.A. 2015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Flatfishes of the White Sea: New data on the biology of the Arctic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Liopsetta glacialis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and common dab </w:t>
      </w:r>
      <w:r>
        <w:rPr>
          <w:rStyle w:val="4"/>
          <w:rFonts w:ascii="Times New Roman" w:hAnsi="Times New Roman"/>
          <w:sz w:val="24"/>
          <w:szCs w:val="24"/>
          <w:lang w:val="en"/>
        </w:rPr>
        <w:t>Limanda limanda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. </w:t>
      </w:r>
      <w:r>
        <w:rPr>
          <w:rStyle w:val="4"/>
          <w:rFonts w:ascii="Times New Roman" w:hAnsi="Times New Roman"/>
          <w:sz w:val="24"/>
          <w:szCs w:val="24"/>
          <w:lang w:val="en"/>
        </w:rPr>
        <w:t>Journal of Ichthyology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, 55: 527-539.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doi: </w:t>
      </w:r>
      <w:r>
        <w:rPr>
          <w:rFonts w:ascii="Times New Roman" w:hAnsi="Times New Roman" w:cs="Times New Roman"/>
          <w:sz w:val="24"/>
          <w:szCs w:val="24"/>
          <w:lang w:val="en-US"/>
        </w:rPr>
        <w:t>10.7868/S0042875215030157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1964.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Materials on systematics of European flounder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Pleuronectes flesus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from the White Sea.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Vestnik of Moscow State University,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1: 32-38. </w:t>
      </w:r>
      <w:r>
        <w:rPr>
          <w:rFonts w:ascii="Times New Roman" w:hAnsi="Times New Roman" w:cs="Times New Roman"/>
          <w:sz w:val="24"/>
          <w:szCs w:val="24"/>
          <w:lang w:val="en-US"/>
        </w:rPr>
        <w:t>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and Chestnova L.G. 1970.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biological characteristics of the flounder from the Kandalaksha Bay in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Rep. White Sea biol. station State Univ. Moscow</w:t>
      </w:r>
      <w:r>
        <w:rPr>
          <w:rFonts w:ascii="Times New Roman" w:hAnsi="Times New Roman" w:cs="Times New Roman"/>
          <w:sz w:val="24"/>
          <w:szCs w:val="24"/>
          <w:lang w:val="en-US"/>
        </w:rPr>
        <w:t>, 3: 166-188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Sherstkov A.S. 2005.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Growth peculiarities of European flounder from the Onega Bay,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KSTU News</w:t>
      </w:r>
      <w:r>
        <w:rPr>
          <w:rFonts w:ascii="Times New Roman" w:hAnsi="Times New Roman" w:cs="Times New Roman"/>
          <w:sz w:val="24"/>
          <w:szCs w:val="24"/>
          <w:lang w:val="en-US"/>
        </w:rPr>
        <w:t>, 8: 85–94.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and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ristov D.A.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Age and growth of European flounder from the Chupa Inlet (Kandalaksha Bay, White Sea).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>(2): 93–104. </w:t>
      </w:r>
      <w:r>
        <w:fldChar w:fldCharType="begin"/>
      </w:r>
      <w:r>
        <w:instrText xml:space="preserve"> HYPERLINK "https://doi.org/10.31610/trudyzin/2019.323.2.93"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https://doi.org/10.31610/trudyzin/2019.323.2.93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and Voronina E.P. 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Variability of squamation of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(Pleuronectidae) in the White Sea.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(2): 105-111.  </w:t>
      </w:r>
      <w:r>
        <w:fldChar w:fldCharType="begin"/>
      </w:r>
      <w:r>
        <w:instrText xml:space="preserve"> HYPERLINK "https://doi.org/10.31610/trudyzin/2019.323.2.105"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https://doi.org/10.31610/trudyzin/2019.323.2.105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 and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2018.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features of biology and morphology of European flounder from the Chupa Inlet (Kandalaksha Bay, the White Sea). In: Biological Problems of the North. The Materials of International Scientific Conference dedicated to Academician V. L. Kontrimavichus (Magadan, 18–22 September 2018)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[ed. by E. V. Khamenkova]. Magadan, p.413-416. 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Zuur A., Ieno E., Walker N., Saveliev A. and Smith G. 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Mixed effects models and extensions in ecology with R.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 York, NY: Spring Science and Business Media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FIGURE CAPTIONS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 xml:space="preserve">Fig.1. 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TABLES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 1.</w:t>
      </w:r>
    </w:p>
    <w:p>
      <w:pPr>
        <w:pStyle w:val="16"/>
        <w:spacing w:before="0" w:beforeAutospacing="0" w:after="0" w:afterAutospacing="0" w:line="480" w:lineRule="auto"/>
        <w:rPr>
          <w:b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imesNew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E"/>
    <w:rsid w:val="000010A5"/>
    <w:rsid w:val="000055C7"/>
    <w:rsid w:val="00005AD0"/>
    <w:rsid w:val="00013EF0"/>
    <w:rsid w:val="00015AE4"/>
    <w:rsid w:val="00021139"/>
    <w:rsid w:val="00033477"/>
    <w:rsid w:val="0004464D"/>
    <w:rsid w:val="00044D8C"/>
    <w:rsid w:val="00055EF3"/>
    <w:rsid w:val="00056C8E"/>
    <w:rsid w:val="00060316"/>
    <w:rsid w:val="00084666"/>
    <w:rsid w:val="000A0DA8"/>
    <w:rsid w:val="000B771A"/>
    <w:rsid w:val="000B7EF7"/>
    <w:rsid w:val="000C2E0B"/>
    <w:rsid w:val="000C30C0"/>
    <w:rsid w:val="000D065E"/>
    <w:rsid w:val="000D2DB7"/>
    <w:rsid w:val="000D3143"/>
    <w:rsid w:val="000D352F"/>
    <w:rsid w:val="000D7DAF"/>
    <w:rsid w:val="000E7192"/>
    <w:rsid w:val="00104DC1"/>
    <w:rsid w:val="001202F9"/>
    <w:rsid w:val="001305A6"/>
    <w:rsid w:val="00141F8A"/>
    <w:rsid w:val="00144537"/>
    <w:rsid w:val="00153BC6"/>
    <w:rsid w:val="0015792D"/>
    <w:rsid w:val="00162130"/>
    <w:rsid w:val="00162F66"/>
    <w:rsid w:val="001647A5"/>
    <w:rsid w:val="00181214"/>
    <w:rsid w:val="00183A21"/>
    <w:rsid w:val="001B6629"/>
    <w:rsid w:val="001B6EBE"/>
    <w:rsid w:val="001C6906"/>
    <w:rsid w:val="001D1800"/>
    <w:rsid w:val="001D1E83"/>
    <w:rsid w:val="001D6D2D"/>
    <w:rsid w:val="001E4303"/>
    <w:rsid w:val="001E7B5A"/>
    <w:rsid w:val="001F4D83"/>
    <w:rsid w:val="001F7058"/>
    <w:rsid w:val="002016DE"/>
    <w:rsid w:val="00202135"/>
    <w:rsid w:val="00210009"/>
    <w:rsid w:val="00210B95"/>
    <w:rsid w:val="00212588"/>
    <w:rsid w:val="00220D01"/>
    <w:rsid w:val="00235C95"/>
    <w:rsid w:val="00235E09"/>
    <w:rsid w:val="00254A8F"/>
    <w:rsid w:val="00257962"/>
    <w:rsid w:val="002638F8"/>
    <w:rsid w:val="00271F59"/>
    <w:rsid w:val="0028228A"/>
    <w:rsid w:val="00282BF4"/>
    <w:rsid w:val="00283B17"/>
    <w:rsid w:val="00290758"/>
    <w:rsid w:val="002A0F83"/>
    <w:rsid w:val="002C0F0C"/>
    <w:rsid w:val="002C2078"/>
    <w:rsid w:val="002E6E8D"/>
    <w:rsid w:val="00303646"/>
    <w:rsid w:val="003277F7"/>
    <w:rsid w:val="003368BD"/>
    <w:rsid w:val="00342B2F"/>
    <w:rsid w:val="0035162C"/>
    <w:rsid w:val="00372CB1"/>
    <w:rsid w:val="003942B4"/>
    <w:rsid w:val="0039547E"/>
    <w:rsid w:val="003A4D42"/>
    <w:rsid w:val="003B632E"/>
    <w:rsid w:val="003D607C"/>
    <w:rsid w:val="003F26A9"/>
    <w:rsid w:val="003F28AE"/>
    <w:rsid w:val="00416DDE"/>
    <w:rsid w:val="004374B0"/>
    <w:rsid w:val="00444523"/>
    <w:rsid w:val="0044696C"/>
    <w:rsid w:val="00463EB9"/>
    <w:rsid w:val="004641F6"/>
    <w:rsid w:val="00474E59"/>
    <w:rsid w:val="0048203B"/>
    <w:rsid w:val="00490599"/>
    <w:rsid w:val="00490D11"/>
    <w:rsid w:val="004A2D98"/>
    <w:rsid w:val="004B1D5F"/>
    <w:rsid w:val="004B5E12"/>
    <w:rsid w:val="004F4935"/>
    <w:rsid w:val="004F560B"/>
    <w:rsid w:val="00505CDA"/>
    <w:rsid w:val="00523A79"/>
    <w:rsid w:val="00532709"/>
    <w:rsid w:val="00536088"/>
    <w:rsid w:val="00536BF8"/>
    <w:rsid w:val="00557BC0"/>
    <w:rsid w:val="00573B5B"/>
    <w:rsid w:val="005804DF"/>
    <w:rsid w:val="00584914"/>
    <w:rsid w:val="005914C2"/>
    <w:rsid w:val="0059191F"/>
    <w:rsid w:val="005B21FE"/>
    <w:rsid w:val="005B28CA"/>
    <w:rsid w:val="005B3978"/>
    <w:rsid w:val="005B44FC"/>
    <w:rsid w:val="005C510C"/>
    <w:rsid w:val="005C5E3A"/>
    <w:rsid w:val="005E020C"/>
    <w:rsid w:val="005E35CD"/>
    <w:rsid w:val="005F7B1E"/>
    <w:rsid w:val="00615550"/>
    <w:rsid w:val="00620E95"/>
    <w:rsid w:val="006355FE"/>
    <w:rsid w:val="0065278B"/>
    <w:rsid w:val="00674491"/>
    <w:rsid w:val="00682DFE"/>
    <w:rsid w:val="00683C83"/>
    <w:rsid w:val="00684A13"/>
    <w:rsid w:val="00694130"/>
    <w:rsid w:val="00695C27"/>
    <w:rsid w:val="006B7E9C"/>
    <w:rsid w:val="006C420D"/>
    <w:rsid w:val="006D0763"/>
    <w:rsid w:val="006D659F"/>
    <w:rsid w:val="006E3625"/>
    <w:rsid w:val="006E7DE5"/>
    <w:rsid w:val="006F1E4E"/>
    <w:rsid w:val="006F3566"/>
    <w:rsid w:val="00704575"/>
    <w:rsid w:val="00705D75"/>
    <w:rsid w:val="007105A3"/>
    <w:rsid w:val="00720469"/>
    <w:rsid w:val="007205D8"/>
    <w:rsid w:val="0072436E"/>
    <w:rsid w:val="00727814"/>
    <w:rsid w:val="00735011"/>
    <w:rsid w:val="007423F7"/>
    <w:rsid w:val="00750151"/>
    <w:rsid w:val="00750741"/>
    <w:rsid w:val="00751A6B"/>
    <w:rsid w:val="0075370F"/>
    <w:rsid w:val="00755A22"/>
    <w:rsid w:val="007668F3"/>
    <w:rsid w:val="0077743F"/>
    <w:rsid w:val="00787AE3"/>
    <w:rsid w:val="00794AD8"/>
    <w:rsid w:val="00795C82"/>
    <w:rsid w:val="007A0ED9"/>
    <w:rsid w:val="007B6448"/>
    <w:rsid w:val="007C53AB"/>
    <w:rsid w:val="007D6C3D"/>
    <w:rsid w:val="007E1E6E"/>
    <w:rsid w:val="007E4896"/>
    <w:rsid w:val="007F135A"/>
    <w:rsid w:val="007F17D1"/>
    <w:rsid w:val="007F2B3F"/>
    <w:rsid w:val="007F5CE2"/>
    <w:rsid w:val="008012AF"/>
    <w:rsid w:val="00826A6A"/>
    <w:rsid w:val="008403C9"/>
    <w:rsid w:val="00846227"/>
    <w:rsid w:val="008615AC"/>
    <w:rsid w:val="00873540"/>
    <w:rsid w:val="0089183B"/>
    <w:rsid w:val="00891B1C"/>
    <w:rsid w:val="008C2AAC"/>
    <w:rsid w:val="008C44FF"/>
    <w:rsid w:val="008E13A5"/>
    <w:rsid w:val="008E184B"/>
    <w:rsid w:val="008F63BF"/>
    <w:rsid w:val="00914ADB"/>
    <w:rsid w:val="0092551B"/>
    <w:rsid w:val="0092670D"/>
    <w:rsid w:val="00931002"/>
    <w:rsid w:val="0093560E"/>
    <w:rsid w:val="00936A7C"/>
    <w:rsid w:val="00942AEA"/>
    <w:rsid w:val="00945CC6"/>
    <w:rsid w:val="0094698D"/>
    <w:rsid w:val="00946E15"/>
    <w:rsid w:val="0095187A"/>
    <w:rsid w:val="00951A3D"/>
    <w:rsid w:val="00997C9A"/>
    <w:rsid w:val="009A0D2C"/>
    <w:rsid w:val="009B48CC"/>
    <w:rsid w:val="009B7105"/>
    <w:rsid w:val="009D67B6"/>
    <w:rsid w:val="009D750D"/>
    <w:rsid w:val="00A064C3"/>
    <w:rsid w:val="00A07A29"/>
    <w:rsid w:val="00A326FE"/>
    <w:rsid w:val="00A36B23"/>
    <w:rsid w:val="00A400CB"/>
    <w:rsid w:val="00A56138"/>
    <w:rsid w:val="00A617DD"/>
    <w:rsid w:val="00A80EC0"/>
    <w:rsid w:val="00A93431"/>
    <w:rsid w:val="00AA5846"/>
    <w:rsid w:val="00AA7ACA"/>
    <w:rsid w:val="00AC1C42"/>
    <w:rsid w:val="00AE2AF9"/>
    <w:rsid w:val="00AE2C05"/>
    <w:rsid w:val="00AE7786"/>
    <w:rsid w:val="00B02EA0"/>
    <w:rsid w:val="00B044EB"/>
    <w:rsid w:val="00B315CA"/>
    <w:rsid w:val="00B35E37"/>
    <w:rsid w:val="00B41B62"/>
    <w:rsid w:val="00B44D59"/>
    <w:rsid w:val="00B53CA3"/>
    <w:rsid w:val="00B56630"/>
    <w:rsid w:val="00B57679"/>
    <w:rsid w:val="00B70C25"/>
    <w:rsid w:val="00B7135E"/>
    <w:rsid w:val="00B850C8"/>
    <w:rsid w:val="00BA6EE3"/>
    <w:rsid w:val="00BB3002"/>
    <w:rsid w:val="00BB6A72"/>
    <w:rsid w:val="00BE1BDA"/>
    <w:rsid w:val="00BE70F7"/>
    <w:rsid w:val="00BF058B"/>
    <w:rsid w:val="00C111CC"/>
    <w:rsid w:val="00C17853"/>
    <w:rsid w:val="00C437F8"/>
    <w:rsid w:val="00C45470"/>
    <w:rsid w:val="00C457FA"/>
    <w:rsid w:val="00C46D01"/>
    <w:rsid w:val="00C50816"/>
    <w:rsid w:val="00C50BDC"/>
    <w:rsid w:val="00C53541"/>
    <w:rsid w:val="00C5618C"/>
    <w:rsid w:val="00C740E9"/>
    <w:rsid w:val="00C76E6E"/>
    <w:rsid w:val="00C83E1C"/>
    <w:rsid w:val="00CA37B3"/>
    <w:rsid w:val="00CA5211"/>
    <w:rsid w:val="00CA78B9"/>
    <w:rsid w:val="00CB5B47"/>
    <w:rsid w:val="00CD5891"/>
    <w:rsid w:val="00CE2A1F"/>
    <w:rsid w:val="00CF057A"/>
    <w:rsid w:val="00D022AD"/>
    <w:rsid w:val="00D04C17"/>
    <w:rsid w:val="00D25214"/>
    <w:rsid w:val="00D27C05"/>
    <w:rsid w:val="00D34760"/>
    <w:rsid w:val="00D35FD6"/>
    <w:rsid w:val="00D37568"/>
    <w:rsid w:val="00D45333"/>
    <w:rsid w:val="00D47F09"/>
    <w:rsid w:val="00D65830"/>
    <w:rsid w:val="00D77774"/>
    <w:rsid w:val="00D8174C"/>
    <w:rsid w:val="00D83480"/>
    <w:rsid w:val="00D966DB"/>
    <w:rsid w:val="00DA1F24"/>
    <w:rsid w:val="00DB72ED"/>
    <w:rsid w:val="00DC7051"/>
    <w:rsid w:val="00DD1FA5"/>
    <w:rsid w:val="00DE6A11"/>
    <w:rsid w:val="00E118E5"/>
    <w:rsid w:val="00E208AF"/>
    <w:rsid w:val="00E230EA"/>
    <w:rsid w:val="00E24EED"/>
    <w:rsid w:val="00E27F54"/>
    <w:rsid w:val="00E443B2"/>
    <w:rsid w:val="00E47404"/>
    <w:rsid w:val="00E524F5"/>
    <w:rsid w:val="00E53FD2"/>
    <w:rsid w:val="00E55F45"/>
    <w:rsid w:val="00E63396"/>
    <w:rsid w:val="00E66114"/>
    <w:rsid w:val="00E8005E"/>
    <w:rsid w:val="00E80FD4"/>
    <w:rsid w:val="00E924FC"/>
    <w:rsid w:val="00E96061"/>
    <w:rsid w:val="00EA037A"/>
    <w:rsid w:val="00EB2163"/>
    <w:rsid w:val="00EB223F"/>
    <w:rsid w:val="00EB3C70"/>
    <w:rsid w:val="00EC72C6"/>
    <w:rsid w:val="00ED7256"/>
    <w:rsid w:val="00ED78ED"/>
    <w:rsid w:val="00EE6810"/>
    <w:rsid w:val="00EF702D"/>
    <w:rsid w:val="00F06880"/>
    <w:rsid w:val="00F13887"/>
    <w:rsid w:val="00F2073E"/>
    <w:rsid w:val="00F21CAD"/>
    <w:rsid w:val="00F37F93"/>
    <w:rsid w:val="00F43674"/>
    <w:rsid w:val="00F5737B"/>
    <w:rsid w:val="00F96739"/>
    <w:rsid w:val="00F97B01"/>
    <w:rsid w:val="00FA11F8"/>
    <w:rsid w:val="00FA7B38"/>
    <w:rsid w:val="00FB1E60"/>
    <w:rsid w:val="00FB20DE"/>
    <w:rsid w:val="00FC4629"/>
    <w:rsid w:val="00FC756C"/>
    <w:rsid w:val="00FE4702"/>
    <w:rsid w:val="060B24AF"/>
    <w:rsid w:val="0A580D98"/>
    <w:rsid w:val="1AB44A04"/>
    <w:rsid w:val="41C61622"/>
    <w:rsid w:val="494A4109"/>
    <w:rsid w:val="4ABB334F"/>
    <w:rsid w:val="6F341379"/>
    <w:rsid w:val="7B0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styleId="5">
    <w:name w:val="Hyperlink"/>
    <w:qFormat/>
    <w:uiPriority w:val="99"/>
    <w:rPr>
      <w:color w:val="0563C1"/>
      <w:u w:val="single"/>
    </w:rPr>
  </w:style>
  <w:style w:type="paragraph" w:styleId="6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7">
    <w:name w:val="Body Text"/>
    <w:basedOn w:val="1"/>
    <w:link w:val="9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Основной текст Знак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Table Caption"/>
    <w:basedOn w:val="6"/>
    <w:qFormat/>
    <w:uiPriority w:val="0"/>
    <w:pPr>
      <w:keepNext/>
    </w:pPr>
  </w:style>
  <w:style w:type="paragraph" w:customStyle="1" w:styleId="11">
    <w:name w:val="Compact"/>
    <w:basedOn w:val="7"/>
    <w:qFormat/>
    <w:uiPriority w:val="0"/>
    <w:pPr>
      <w:spacing w:before="36" w:after="36"/>
    </w:pPr>
  </w:style>
  <w:style w:type="table" w:customStyle="1" w:styleId="1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styleId="13">
    <w:name w:val="No Spacing"/>
    <w:qFormat/>
    <w:uiPriority w:val="99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4">
    <w:name w:val="p3"/>
    <w:basedOn w:val="1"/>
    <w:qFormat/>
    <w:uiPriority w:val="0"/>
    <w:pPr>
      <w:spacing w:before="100" w:beforeAutospacing="1" w:after="100" w:afterAutospacing="1" w:line="240" w:lineRule="auto"/>
      <w:jc w:val="both"/>
    </w:pPr>
    <w:rPr>
      <w:rFonts w:ascii="Arial" w:hAnsi="Arial" w:eastAsia="Times New Roman" w:cs="Arial"/>
      <w:sz w:val="28"/>
      <w:szCs w:val="28"/>
      <w:lang w:eastAsia="ru-RU"/>
    </w:rPr>
  </w:style>
  <w:style w:type="character" w:customStyle="1" w:styleId="15">
    <w:name w:val="mail-message-sender-email"/>
    <w:basedOn w:val="2"/>
    <w:qFormat/>
    <w:uiPriority w:val="99"/>
  </w:style>
  <w:style w:type="paragraph" w:customStyle="1" w:styleId="16">
    <w:name w:val="western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wmi-callto"/>
    <w:basedOn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AD849-15CF-435A-9CBD-FADB366829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2176</Words>
  <Characters>12407</Characters>
  <Lines>103</Lines>
  <Paragraphs>29</Paragraphs>
  <TotalTime>43</TotalTime>
  <ScaleCrop>false</ScaleCrop>
  <LinksUpToDate>false</LinksUpToDate>
  <CharactersWithSpaces>14554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2021-05-12T07:17:00Z</dcterms:created>
  <dc:creator>Петр Ершов</dc:creator>
  <cp:lastModifiedBy>polyd</cp:lastModifiedBy>
  <dcterms:modified xsi:type="dcterms:W3CDTF">2021-06-04T11:49:32Z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