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360" w:lineRule="auto"/>
        <w:ind w:firstLine="0"/>
        <w:rPr>
          <w:b/>
        </w:rPr>
      </w:pPr>
      <w:r>
        <w:rPr>
          <w:rFonts w:hint="default"/>
          <w:b/>
          <w:lang w:val="ru-RU"/>
        </w:rPr>
        <w:t>МНОГОЛЕТНЯЯ ДИНАМИКА</w:t>
      </w:r>
      <w:r>
        <w:rPr>
          <w:b/>
        </w:rPr>
        <w:t xml:space="preserve"> ДОЛИ ЛЕВОСТОРОННИХ ОСОБЕЙ В ПОПУЛЯЦИЯХ РЕЧНОЙ КАМБАЛ</w:t>
      </w:r>
      <w:bookmarkStart w:id="1" w:name="_GoBack"/>
      <w:bookmarkEnd w:id="1"/>
      <w:r>
        <w:rPr>
          <w:b/>
        </w:rPr>
        <w:t>Ы БЕЛОГО МОРЯ</w:t>
      </w:r>
    </w:p>
    <w:p>
      <w:pPr>
        <w:pStyle w:val="7"/>
        <w:spacing w:line="360" w:lineRule="auto"/>
        <w:ind w:firstLine="0"/>
        <w:jc w:val="left"/>
      </w:pPr>
    </w:p>
    <w:p>
      <w:pPr>
        <w:pStyle w:val="7"/>
        <w:spacing w:line="360" w:lineRule="auto"/>
        <w:ind w:firstLine="0"/>
      </w:pPr>
      <w:r>
        <w:rPr>
          <w:lang w:val="en-US"/>
        </w:rPr>
        <w:t>ABSTRACT</w:t>
      </w:r>
    </w:p>
    <w:p>
      <w:pPr>
        <w:pStyle w:val="7"/>
        <w:spacing w:line="276" w:lineRule="auto"/>
        <w:ind w:firstLine="0"/>
      </w:pPr>
      <w:r>
        <w:t xml:space="preserve">Исследована межгодовая изменчивость доли левосторонних рыб в популяциях речной камбалы из Онежского (2002-2019 гг.), Мезенского (2010-2016 гг.) и Двинского (2005-2019 гг.) заливов Белого моря. Показано, что статистически достоверные закономерные изменения признака в популяциях отсутствуют. Частота встречаемости левосторонних особей в локальных популяциях и характер межпопуляционных отличий в разные годы наблюдений остаются относительно постоянными. Сравнение полученных результатов с данными более ранних исследований показало сходство частот встречаемости левосторонних рыб в изученных популяциях речной камбалы из Кандалакшского и Онежского заливов за прошедшие 40-60 лет. Полученные результаты свидетельствуют о важности такого морфологического признака, как пропорции левосторонних морф, для анализа популяционной дифференциации речной камбалы в Белом море.  </w:t>
      </w:r>
    </w:p>
    <w:p>
      <w:pPr>
        <w:pStyle w:val="7"/>
        <w:spacing w:line="240" w:lineRule="auto"/>
        <w:ind w:firstLine="0"/>
      </w:pPr>
    </w:p>
    <w:p>
      <w:pPr>
        <w:pStyle w:val="7"/>
        <w:spacing w:line="360" w:lineRule="auto"/>
        <w:ind w:firstLine="0"/>
      </w:pPr>
      <w:r>
        <w:t>ВВЕДЕНИЕ</w:t>
      </w:r>
    </w:p>
    <w:p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Речная камбала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Platichthys flesus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Linnaeus</w:t>
      </w:r>
      <w:r>
        <w:rPr>
          <w:rFonts w:ascii="Times New Roman" w:hAnsi="Times New Roman" w:cs="Times New Roman"/>
          <w:sz w:val="24"/>
          <w:szCs w:val="24"/>
        </w:rPr>
        <w:t>, 1758) является типичным представителем ихтиофауны Белого моря (</w:t>
      </w:r>
      <w:r>
        <w:rPr>
          <w:rFonts w:ascii="Times New Roman" w:hAnsi="Times New Roman" w:cs="Times New Roman"/>
          <w:sz w:val="24"/>
          <w:szCs w:val="24"/>
          <w:lang w:val="en-US"/>
        </w:rPr>
        <w:t>Altukhov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>., 1958). В Белом море этот вид обитает в мелководной прибрежно-шельфовой зоне, образуя локальные популяции и экологические группировки в разных заливах (</w:t>
      </w:r>
      <w:r>
        <w:rPr>
          <w:rFonts w:ascii="Times New Roman" w:hAnsi="Times New Roman" w:cs="Times New Roman"/>
          <w:sz w:val="24"/>
          <w:szCs w:val="24"/>
          <w:lang w:val="en-US"/>
        </w:rPr>
        <w:t>Shatunovsky</w:t>
      </w:r>
      <w:r>
        <w:rPr>
          <w:rFonts w:ascii="Times New Roman" w:hAnsi="Times New Roman" w:cs="Times New Roman"/>
          <w:sz w:val="24"/>
          <w:szCs w:val="24"/>
        </w:rPr>
        <w:t xml:space="preserve">, 1964; </w:t>
      </w:r>
      <w:r>
        <w:rPr>
          <w:rFonts w:ascii="Times New Roman" w:hAnsi="Times New Roman" w:cs="Times New Roman"/>
          <w:sz w:val="24"/>
          <w:szCs w:val="24"/>
          <w:lang w:val="en-US"/>
        </w:rPr>
        <w:t>Sherstkov</w:t>
      </w:r>
      <w:r>
        <w:rPr>
          <w:rFonts w:ascii="Times New Roman" w:hAnsi="Times New Roman" w:cs="Times New Roman"/>
          <w:sz w:val="24"/>
          <w:szCs w:val="24"/>
        </w:rPr>
        <w:t xml:space="preserve">, 2005; </w:t>
      </w:r>
      <w:r>
        <w:rPr>
          <w:rFonts w:ascii="Times New Roman" w:hAnsi="Times New Roman" w:cs="Times New Roman"/>
          <w:sz w:val="24"/>
          <w:szCs w:val="24"/>
          <w:lang w:val="en-US"/>
        </w:rPr>
        <w:t>Semushin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., 2015; </w:t>
      </w:r>
      <w:r>
        <w:rPr>
          <w:rFonts w:ascii="Times New Roman" w:hAnsi="Times New Roman" w:cs="Times New Roman"/>
          <w:sz w:val="24"/>
          <w:szCs w:val="24"/>
          <w:lang w:val="en-US"/>
        </w:rPr>
        <w:t>Yershov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>., 2019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). Между популяциями камбал из разных заливов Белого моря обнаружены отличия по скорости роста, возрасту наступления половозрелости, возрастной структуре, некоторым морфологическим признакам, паразитофауне и т.д. (</w:t>
      </w:r>
      <w:r>
        <w:rPr>
          <w:rFonts w:ascii="Times New Roman" w:hAnsi="Times New Roman" w:cs="Times New Roman"/>
          <w:sz w:val="24"/>
          <w:szCs w:val="24"/>
          <w:lang w:val="en-US"/>
        </w:rPr>
        <w:t>Shatunovsky</w:t>
      </w:r>
      <w:r>
        <w:rPr>
          <w:rFonts w:ascii="Times New Roman" w:hAnsi="Times New Roman" w:cs="Times New Roman"/>
          <w:sz w:val="24"/>
          <w:szCs w:val="24"/>
        </w:rPr>
        <w:t xml:space="preserve">, 1964; Shatunovsky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Chestnova</w:t>
      </w:r>
      <w:r>
        <w:rPr>
          <w:rFonts w:ascii="Times New Roman" w:hAnsi="Times New Roman" w:cs="Times New Roman"/>
          <w:sz w:val="24"/>
          <w:szCs w:val="24"/>
        </w:rPr>
        <w:t xml:space="preserve">, 1970; </w:t>
      </w:r>
      <w:r>
        <w:rPr>
          <w:rFonts w:ascii="Times New Roman" w:hAnsi="Times New Roman" w:cs="Times New Roman"/>
          <w:sz w:val="24"/>
          <w:szCs w:val="24"/>
          <w:lang w:val="en-US"/>
        </w:rPr>
        <w:t>Dietrich</w:t>
      </w:r>
      <w:r>
        <w:rPr>
          <w:rFonts w:ascii="Times New Roman" w:hAnsi="Times New Roman" w:cs="Times New Roman"/>
          <w:sz w:val="24"/>
          <w:szCs w:val="24"/>
        </w:rPr>
        <w:t xml:space="preserve">, 2009; </w:t>
      </w:r>
      <w:r>
        <w:rPr>
          <w:rFonts w:ascii="Times New Roman" w:hAnsi="Times New Roman" w:cs="Times New Roman"/>
          <w:sz w:val="24"/>
          <w:szCs w:val="24"/>
          <w:lang w:val="en-US"/>
        </w:rPr>
        <w:t>Semushin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., 2015; </w:t>
      </w:r>
      <w:r>
        <w:rPr>
          <w:rFonts w:ascii="Times New Roman" w:hAnsi="Times New Roman" w:cs="Times New Roman"/>
          <w:sz w:val="24"/>
          <w:szCs w:val="24"/>
          <w:lang w:val="en-US"/>
        </w:rPr>
        <w:t>Yershov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Matvienko</w:t>
      </w:r>
      <w:r>
        <w:rPr>
          <w:rFonts w:ascii="Times New Roman" w:hAnsi="Times New Roman" w:cs="Times New Roman"/>
          <w:sz w:val="24"/>
          <w:szCs w:val="24"/>
        </w:rPr>
        <w:t xml:space="preserve">, 2018; </w:t>
      </w:r>
      <w:r>
        <w:rPr>
          <w:rFonts w:ascii="Times New Roman" w:hAnsi="Times New Roman" w:cs="Times New Roman"/>
          <w:sz w:val="24"/>
          <w:szCs w:val="24"/>
          <w:lang w:val="en-US"/>
        </w:rPr>
        <w:t>Yershov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>., 2019а, б). В отношении пропорций левосторонних особей имеющиеся литературные данные также свидетельствуют о популяционных отличиях камбалы из разных заливов Белого моря (</w:t>
      </w:r>
      <w:r>
        <w:rPr>
          <w:rFonts w:ascii="Times New Roman" w:hAnsi="Times New Roman" w:cs="Times New Roman"/>
          <w:sz w:val="24"/>
          <w:szCs w:val="24"/>
          <w:lang w:val="en-US"/>
        </w:rPr>
        <w:t>Dietrich</w:t>
      </w:r>
      <w:r>
        <w:rPr>
          <w:rFonts w:ascii="Times New Roman" w:hAnsi="Times New Roman" w:cs="Times New Roman"/>
          <w:sz w:val="24"/>
          <w:szCs w:val="24"/>
        </w:rPr>
        <w:t xml:space="preserve">, 2009; Семушин т и др.). Вместе с тем, остается невыясненным вопрос о межгодовой изменчивости данного признака в локальных популяциях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flesus</w:t>
      </w:r>
      <w:r>
        <w:rPr>
          <w:rFonts w:ascii="Times New Roman" w:hAnsi="Times New Roman" w:cs="Times New Roman"/>
          <w:sz w:val="24"/>
          <w:szCs w:val="24"/>
        </w:rPr>
        <w:t xml:space="preserve"> и ее возможном влиянии на уровень наблюдаемых межпопуляционных отличий. Кроме того, выяснение многолетней и межгодовой динамики признака в отдельных популяциях позволит судить о его значении для анализа популяционной структуры вида в регионе. Целью исследования являлось изучение межгодовой и многолетней изменчивости доли левосторонних особей в популяциях речной камбалы из Онежского, Двинского и Мезенского заливов Белого моря.</w:t>
      </w:r>
    </w:p>
    <w:p>
      <w:pPr>
        <w:pStyle w:val="7"/>
        <w:spacing w:line="360" w:lineRule="auto"/>
        <w:ind w:firstLine="0"/>
      </w:pPr>
    </w:p>
    <w:p>
      <w:pPr>
        <w:pStyle w:val="7"/>
        <w:spacing w:line="360" w:lineRule="auto"/>
        <w:ind w:firstLine="0"/>
      </w:pPr>
      <w:r>
        <w:t>МАТЕРИАЛ И МЕТОДЫ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проведения исследования были использованы сборы речной камбалы, проведенные в Онежском (2002-2019 гг.,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=4655; р.Нюхча, кутовая часть залива), Двинском (2005-2019 гг.,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=4760; устье р.Северная Двина) и Мезенском (2010-2016 гг.,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=2272; устье р.Мезень) заливах Белого моря в ходе регулярных полевых исследований Полярного филиала ФГБНУ «ВНИРО» (сборы Фукс Г.В. и других сотрудников)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Fig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). Ввиду отсутствия достоверных различий по размерно-возрастному составу и пропорциям морф две выборки из Онежского залива были объединены в один массив данных. Во всех заливах лов рыбы осуществляли в прибрежных участках с помощью разноячейных жаберных сетей (ячея 30-50 мм) и ловушек. В каждой выборке было определено количество лево- и правосторонних особей. Пол рыб был установлен визуально после их вскрытия. У всех свежевыловленных камбал определяли общую длину тела (</w:t>
      </w:r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r>
        <w:rPr>
          <w:rFonts w:ascii="Times New Roman" w:hAnsi="Times New Roman" w:cs="Times New Roman"/>
          <w:sz w:val="24"/>
          <w:szCs w:val="24"/>
        </w:rPr>
        <w:t xml:space="preserve">) с точностью до 0.1 см. Возраст рыб определяли по отолитам 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методом слома и обжига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Christensen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1964;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Chilton</w:t>
      </w:r>
      <w:r>
        <w:rPr>
          <w:rFonts w:ascii="Times New Roman" w:hAnsi="Times New Roman" w:cs="Times New Roman"/>
          <w:color w:val="FF0000"/>
          <w:sz w:val="24"/>
          <w:szCs w:val="24"/>
        </w:rPr>
        <w:t>, 1982; Фукс, 2015)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Отолит разламывали пополам через ядро, прокаливали, просматривали в падающем свете на бинокулярном микроскопе МБС-10. На слом отолита помещалась капелька воды для лучшей читаемости</w:t>
      </w:r>
    </w:p>
    <w:p>
      <w:pPr>
        <w:pStyle w:val="7"/>
        <w:spacing w:line="360" w:lineRule="auto"/>
        <w:ind w:firstLine="0"/>
      </w:pPr>
      <w:r>
        <w:t xml:space="preserve">Для </w:t>
      </w:r>
      <w:r>
        <w:rPr>
          <w:rFonts w:hint="default"/>
          <w:lang w:val="ru-RU"/>
        </w:rPr>
        <w:t>выявления</w:t>
      </w:r>
      <w:r>
        <w:t xml:space="preserve"> многолетних направленных трендов в частоте левосторонних рыб была построена логистическая регрессионная модель, в которой зависимой переменной была вероятность отнесения особе к левосторонней морфе. В качестве предикторов в модели выступал год отлова (непрерывная величина) и акватория (категориальный предиктор с тремя градациями). В соответствии с протоколом подбора оптимальной модели (</w:t>
      </w:r>
      <w:r>
        <w:rPr>
          <w:lang w:val="en-US"/>
        </w:rPr>
        <w:t>Zuur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2009), взаимодействие предикторов было исключено из модели, как статистически незначимое. Модель проверяли на избыточность дисперсии и на отсутствие нелинейных паттернов в остатках. Расчеты проводились с помощью функций языка статистического программирования </w:t>
      </w:r>
      <w:r>
        <w:rPr>
          <w:lang w:val="en-US"/>
        </w:rPr>
        <w:t>R</w:t>
      </w:r>
      <w:r>
        <w:t xml:space="preserve"> (R Core Team 2020). </w:t>
      </w:r>
    </w:p>
    <w:p>
      <w:pPr>
        <w:pStyle w:val="7"/>
        <w:spacing w:line="360" w:lineRule="auto"/>
        <w:ind w:firstLine="0"/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ref-R_2019"/>
      <w:r>
        <w:rPr>
          <w:rFonts w:ascii="Times New Roman" w:hAnsi="Times New Roman" w:cs="Times New Roman"/>
          <w:b/>
          <w:sz w:val="24"/>
          <w:szCs w:val="24"/>
        </w:rPr>
        <w:t>R Core Team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R: A language and environment for statistical computing</w:t>
      </w:r>
      <w:r>
        <w:rPr>
          <w:rFonts w:ascii="Times New Roman" w:hAnsi="Times New Roman" w:cs="Times New Roman"/>
          <w:sz w:val="24"/>
          <w:szCs w:val="24"/>
        </w:rPr>
        <w:t>. R Foundation for Statistical Computing, Vienna, Austria.</w:t>
      </w:r>
    </w:p>
    <w:bookmarkEnd w:id="0"/>
    <w:p>
      <w:pPr>
        <w:jc w:val="left"/>
        <w:rPr>
          <w:lang w:val="en-US"/>
        </w:rPr>
      </w:pPr>
      <w:r>
        <w:rPr>
          <w:b/>
          <w:lang w:val="en-US"/>
        </w:rPr>
        <w:t>Zuur, A., E. Ieno, N. Walker, A. Saveliev and G. Smith</w:t>
      </w:r>
      <w:r>
        <w:rPr>
          <w:lang w:val="en-US"/>
        </w:rPr>
        <w:t xml:space="preserve">. </w:t>
      </w:r>
      <w:r>
        <w:rPr>
          <w:b/>
          <w:lang w:val="en-US"/>
        </w:rPr>
        <w:t>2009</w:t>
      </w:r>
      <w:r>
        <w:rPr>
          <w:lang w:val="en-US"/>
        </w:rPr>
        <w:t xml:space="preserve">. Mixed effects models and extensions in ecology with R. </w:t>
      </w:r>
      <w:r>
        <w:rPr>
          <w:i/>
          <w:lang w:val="en-US"/>
        </w:rPr>
        <w:t>New York, NY: Spring Science and Business Media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pStyle w:val="7"/>
        <w:spacing w:line="360" w:lineRule="auto"/>
        <w:ind w:firstLine="0"/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 xml:space="preserve"> Quinn, G. P., &amp; Keough, M. J. (2002).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Experimental design and data analysis for biologists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. Cambridge university press.</w:t>
      </w:r>
    </w:p>
    <w:p>
      <w:pPr>
        <w:pStyle w:val="7"/>
        <w:spacing w:line="360" w:lineRule="auto"/>
        <w:ind w:firstLine="0"/>
      </w:pPr>
    </w:p>
    <w:p>
      <w:pPr>
        <w:pStyle w:val="7"/>
        <w:spacing w:line="360" w:lineRule="auto"/>
        <w:ind w:firstLine="0"/>
      </w:pPr>
      <w:r>
        <w:t>РЕЗУЛЬТАТЫ И ОБСУЖДЕНИЕ</w:t>
      </w:r>
    </w:p>
    <w:p>
      <w:pPr>
        <w:pStyle w:val="7"/>
        <w:spacing w:line="360" w:lineRule="auto"/>
        <w:ind w:firstLine="0"/>
      </w:pPr>
      <w:r>
        <w:t>Межгодовая динамика частоты встречаемости левосторонних особей в Онежском, Двинском и Мезенском заливах приведена на рисунке 1. Угловой коэффициент, описывающий связь между частотой встречаемости левосторонних рыб и годом вылова, не отличался статистически значимо от нуля (</w:t>
      </w:r>
      <w:r>
        <w:rPr>
          <w:lang w:val="en-US"/>
        </w:rPr>
        <w:t>p</w:t>
      </w:r>
      <w:r>
        <w:t>=0.92</w:t>
      </w:r>
      <w:r>
        <w:rPr>
          <w:rFonts w:hint="default"/>
          <w:lang w:val="en-US"/>
        </w:rPr>
        <w:t>7</w:t>
      </w:r>
      <w:r>
        <w:t>, табл. 1), что свидетельствует об отсутствии многолетних направленных трендов в изменении рассматриваемого признака. Незначительные межгодовые колебания признака относительно среднемноголетней его величины в каждой исследованной популяции, по нашему мнению, связаны с различиями возрастного состава рыб в выборках разного объема (рис. 2). Из рисунка видно, что в разных заливах медианное значение возраста и доминантные возрастные группы (1-3 квартили) существенно варьировали по годам. Ранее на примере речной камбалы Онежского залива нами было показано, что доля левосторонних особей среди рыб младших и старших возрастных групп отличается (</w:t>
      </w:r>
      <w:r>
        <w:rPr>
          <w:highlight w:val="yellow"/>
          <w:lang w:val="ru-RU"/>
        </w:rPr>
        <w:t>неопубликованные</w:t>
      </w:r>
      <w:r>
        <w:rPr>
          <w:rFonts w:hint="default"/>
          <w:highlight w:val="yellow"/>
          <w:lang w:val="ru-RU"/>
        </w:rPr>
        <w:t xml:space="preserve"> данные</w:t>
      </w:r>
      <w:r>
        <w:t xml:space="preserve">). Динамика возрастного состава рыб в уловах, в свою очередь, зависит от комплекса факторов, среди которых определяющими являются орудия и место лова. </w:t>
      </w:r>
    </w:p>
    <w:p>
      <w:pPr>
        <w:pStyle w:val="7"/>
        <w:spacing w:line="360" w:lineRule="auto"/>
        <w:ind w:firstLine="0"/>
      </w:pPr>
      <w:r>
        <w:t xml:space="preserve">Исследование многолетней изменчивости признака показало, что в разные годы частота встречаемости левосторонних особей в локальных популяциях и характер межпопуляционных отличий остаются относительно постоянными (рис.1). Так, доля реверсивных особей у камбалы из района Великой Салмы (Кандалакшский залив) была сходна (χ2=0.44, </w:t>
      </w:r>
      <w:r>
        <w:rPr>
          <w:lang w:val="en-US"/>
        </w:rPr>
        <w:t>p</w:t>
      </w:r>
      <w:r>
        <w:t xml:space="preserve">&gt;0.05; наши расчеты) в выборках, полученных с интервалом более 40 лет (Шатуновский, 1964; </w:t>
      </w:r>
      <w:r>
        <w:rPr>
          <w:lang w:val="en-US"/>
        </w:rPr>
        <w:t>Dietrich</w:t>
      </w:r>
      <w:r>
        <w:t xml:space="preserve">, 2009). Левосторонние камбалы в Онежском заливе в настоящее время встречаются также часто, как и более полувека назад (Николаев, 1949; Микельсаар, 1958; наши данные). Сведения </w:t>
      </w:r>
      <w:r>
        <w:rPr>
          <w:lang w:val="en-US"/>
        </w:rPr>
        <w:t>Dietrich</w:t>
      </w:r>
      <w:r>
        <w:t xml:space="preserve"> (2009) по доле реверсивных рыб в популяции камбалы реки Северная Двина не отличались от наших данных по этой популяции, полученных за несколько лет. </w:t>
      </w:r>
    </w:p>
    <w:p>
      <w:pPr>
        <w:pStyle w:val="10"/>
        <w:spacing w:line="276" w:lineRule="auto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Таблица 1. Параметры модели, описывающей многолетние изменения частоты встречаемости левосторонних рыб в разных популяциях речной камбалы Белого моря.  Parameters of model fitted</w:t>
      </w:r>
    </w:p>
    <w:tbl>
      <w:tblPr>
        <w:tblStyle w:val="12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1932"/>
        <w:gridCol w:w="244"/>
        <w:gridCol w:w="1720"/>
        <w:gridCol w:w="1918"/>
        <w:gridCol w:w="16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11"/>
              <w:jc w:val="left"/>
            </w:pPr>
            <w:r>
              <w:t>Model term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11"/>
              <w:jc w:val="right"/>
            </w:pPr>
            <w:r>
              <w:t>Parameter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11"/>
              <w:jc w:val="right"/>
            </w:pP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11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11"/>
              <w:jc w:val="right"/>
            </w:pPr>
            <w:r>
              <w:t>Z-statistic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11"/>
              <w:jc w:val="right"/>
            </w:pPr>
            <w:r>
              <w:t>p-value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1"/>
              <w:jc w:val="left"/>
            </w:pPr>
            <w:r>
              <w:t>(Intercept)</w:t>
            </w:r>
          </w:p>
        </w:tc>
        <w:tc>
          <w:tcPr>
            <w:tcW w:w="0" w:type="auto"/>
          </w:tcPr>
          <w:p>
            <w:pPr>
              <w:pStyle w:val="11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-1.7535</w:t>
            </w:r>
          </w:p>
        </w:tc>
        <w:tc>
          <w:tcPr>
            <w:tcW w:w="0" w:type="auto"/>
          </w:tcPr>
          <w:p>
            <w:pPr>
              <w:pStyle w:val="11"/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>
            <w:pPr>
              <w:pStyle w:val="11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13.2183</w:t>
            </w:r>
          </w:p>
        </w:tc>
        <w:tc>
          <w:tcPr>
            <w:tcW w:w="0" w:type="auto"/>
          </w:tcPr>
          <w:p>
            <w:pPr>
              <w:pStyle w:val="11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-0.1327</w:t>
            </w:r>
          </w:p>
        </w:tc>
        <w:tc>
          <w:tcPr>
            <w:tcW w:w="0" w:type="auto"/>
          </w:tcPr>
          <w:p>
            <w:pPr>
              <w:pStyle w:val="11"/>
              <w:jc w:val="right"/>
              <w:rPr>
                <w:rFonts w:hint="default"/>
                <w:highlight w:val="yellow"/>
                <w:lang w:val="en-US"/>
              </w:rPr>
            </w:pPr>
            <w:r>
              <w:rPr>
                <w:highlight w:val="yellow"/>
              </w:rPr>
              <w:t>0.89</w:t>
            </w:r>
            <w:r>
              <w:rPr>
                <w:rFonts w:hint="default"/>
                <w:highlight w:val="yellow"/>
                <w:lang w:val="en-US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1"/>
              <w:jc w:val="left"/>
            </w:pPr>
            <w:r>
              <w:t>Year</w:t>
            </w:r>
          </w:p>
        </w:tc>
        <w:tc>
          <w:tcPr>
            <w:tcW w:w="0" w:type="auto"/>
          </w:tcPr>
          <w:p>
            <w:pPr>
              <w:pStyle w:val="11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-0.0006</w:t>
            </w:r>
          </w:p>
        </w:tc>
        <w:tc>
          <w:tcPr>
            <w:tcW w:w="0" w:type="auto"/>
          </w:tcPr>
          <w:p>
            <w:pPr>
              <w:pStyle w:val="11"/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>
            <w:pPr>
              <w:pStyle w:val="11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0.0066</w:t>
            </w:r>
          </w:p>
        </w:tc>
        <w:tc>
          <w:tcPr>
            <w:tcW w:w="0" w:type="auto"/>
          </w:tcPr>
          <w:p>
            <w:pPr>
              <w:pStyle w:val="11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-0.0918</w:t>
            </w:r>
          </w:p>
        </w:tc>
        <w:tc>
          <w:tcPr>
            <w:tcW w:w="0" w:type="auto"/>
          </w:tcPr>
          <w:p>
            <w:pPr>
              <w:pStyle w:val="11"/>
              <w:jc w:val="right"/>
              <w:rPr>
                <w:rFonts w:hint="default"/>
                <w:highlight w:val="yellow"/>
                <w:lang w:val="en-US"/>
              </w:rPr>
            </w:pPr>
            <w:r>
              <w:rPr>
                <w:highlight w:val="yellow"/>
              </w:rPr>
              <w:t>0.92</w:t>
            </w:r>
            <w:r>
              <w:rPr>
                <w:rFonts w:hint="default"/>
                <w:highlight w:val="yellow"/>
                <w:lang w:val="en-US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1"/>
              <w:jc w:val="left"/>
            </w:pPr>
            <w:r>
              <w:t>Bay</w:t>
            </w:r>
            <w:r>
              <w:rPr>
                <w:vertAlign w:val="subscript"/>
              </w:rPr>
              <w:t>Mezen</w:t>
            </w:r>
          </w:p>
        </w:tc>
        <w:tc>
          <w:tcPr>
            <w:tcW w:w="0" w:type="auto"/>
          </w:tcPr>
          <w:p>
            <w:pPr>
              <w:pStyle w:val="11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-0.4086</w:t>
            </w:r>
          </w:p>
        </w:tc>
        <w:tc>
          <w:tcPr>
            <w:tcW w:w="0" w:type="auto"/>
          </w:tcPr>
          <w:p>
            <w:pPr>
              <w:pStyle w:val="11"/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>
            <w:pPr>
              <w:pStyle w:val="11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0.1354</w:t>
            </w:r>
          </w:p>
        </w:tc>
        <w:tc>
          <w:tcPr>
            <w:tcW w:w="0" w:type="auto"/>
          </w:tcPr>
          <w:p>
            <w:pPr>
              <w:pStyle w:val="11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-3.0169</w:t>
            </w:r>
          </w:p>
        </w:tc>
        <w:tc>
          <w:tcPr>
            <w:tcW w:w="0" w:type="auto"/>
          </w:tcPr>
          <w:p>
            <w:pPr>
              <w:pStyle w:val="11"/>
              <w:jc w:val="right"/>
              <w:rPr>
                <w:rFonts w:hint="default"/>
                <w:highlight w:val="yellow"/>
                <w:lang w:val="en-US"/>
              </w:rPr>
            </w:pPr>
            <w:r>
              <w:rPr>
                <w:highlight w:val="yellow"/>
              </w:rPr>
              <w:t>0.00</w:t>
            </w:r>
            <w:r>
              <w:rPr>
                <w:rFonts w:hint="default"/>
                <w:highlight w:val="yellow"/>
                <w:lang w:val="en-US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1"/>
              <w:jc w:val="left"/>
            </w:pPr>
            <w:r>
              <w:t>Bay</w:t>
            </w:r>
            <w:r>
              <w:rPr>
                <w:vertAlign w:val="subscript"/>
              </w:rPr>
              <w:t>Onega</w:t>
            </w:r>
          </w:p>
        </w:tc>
        <w:tc>
          <w:tcPr>
            <w:tcW w:w="0" w:type="auto"/>
          </w:tcPr>
          <w:p>
            <w:pPr>
              <w:pStyle w:val="11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1.6271</w:t>
            </w:r>
          </w:p>
        </w:tc>
        <w:tc>
          <w:tcPr>
            <w:tcW w:w="0" w:type="auto"/>
          </w:tcPr>
          <w:p>
            <w:pPr>
              <w:pStyle w:val="11"/>
              <w:jc w:val="right"/>
              <w:rPr>
                <w:highlight w:val="yellow"/>
              </w:rPr>
            </w:pPr>
          </w:p>
        </w:tc>
        <w:tc>
          <w:tcPr>
            <w:tcW w:w="0" w:type="auto"/>
          </w:tcPr>
          <w:p>
            <w:pPr>
              <w:pStyle w:val="11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0.0781</w:t>
            </w:r>
          </w:p>
        </w:tc>
        <w:tc>
          <w:tcPr>
            <w:tcW w:w="0" w:type="auto"/>
          </w:tcPr>
          <w:p>
            <w:pPr>
              <w:pStyle w:val="11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20.8432</w:t>
            </w:r>
          </w:p>
        </w:tc>
        <w:tc>
          <w:tcPr>
            <w:tcW w:w="0" w:type="auto"/>
          </w:tcPr>
          <w:p>
            <w:pPr>
              <w:pStyle w:val="11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0.000</w:t>
            </w:r>
          </w:p>
        </w:tc>
      </w:tr>
    </w:tbl>
    <w:p/>
    <w:p/>
    <w:p>
      <w:pPr>
        <w:spacing w:line="360" w:lineRule="auto"/>
        <w:rPr>
          <w:lang w:val="en-US"/>
        </w:rPr>
      </w:pPr>
      <w:r>
        <w:drawing>
          <wp:inline distT="0" distB="0" distL="114300" distR="114300">
            <wp:extent cx="5937885" cy="3705860"/>
            <wp:effectExtent l="0" t="0" r="5715" b="1270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РАЗМЕР СИМВОЛОВ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Многолетняя и межгодовая изменчивость доли левосторонних особей в популяциях речной камбалы из разных заливов Белого моря. Символами показаны частоты левосторонних особей в популяциях из разных заливов в разные годы наблюдений. Серая область вокруг линий регрессии отражает 95% доверительный интервал. Усы отражают доверительные интервалы для частот левосторонних камбал (по литературным данным). Источники данных: 1 – Микельсаар, 1958; 2 – Николаев, 1949; 3, 5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Dietrich</w:t>
      </w:r>
      <w:r>
        <w:rPr>
          <w:rFonts w:ascii="Times New Roman" w:hAnsi="Times New Roman" w:cs="Times New Roman"/>
          <w:sz w:val="24"/>
          <w:szCs w:val="24"/>
        </w:rPr>
        <w:t>, 2009; 4 – Шатуновский, 1964.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/>
    <w:p/>
    <w:p>
      <w:r>
        <w:drawing>
          <wp:inline distT="0" distB="0" distL="114300" distR="114300">
            <wp:extent cx="5937885" cy="3705860"/>
            <wp:effectExtent l="0" t="0" r="5715" b="1270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 Возрастной состав уловов речной камбалы в разных заливах Белого моря в разные годы. Горизонтальная линия отражает медиану возраста в выборке, границы боксов соответствуют значениям 1 и 3 квартилей, размер усов соответствует 1.5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IQR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interquartile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range</w:t>
      </w:r>
      <w:r>
        <w:rPr>
          <w:rFonts w:ascii="Times New Roman" w:hAnsi="Times New Roman" w:cs="Times New Roman"/>
          <w:sz w:val="24"/>
          <w:szCs w:val="24"/>
        </w:rPr>
        <w:t xml:space="preserve">), точками представлены отскакивающие значения.  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Исследований межгодовой изменчивости соотношения морф в популяциях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flesus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разных участков ареала ранее не проводилось. Некоторые сведения можно обнаружить в работе Микельсаара (1958) по речной камбале Балтийского моря, обитающей у побережья Эстонии. Так, по его данным, доля левосторонних особей в прибрежных уловах в районе реки .Пудисоо в период 1942-1946 гг. была сходной и варьировала в узком диапазоне от 32,2 до 35,5%.  Следует заметить, что у близкородственного вида - звездчатой камбалы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stellatus</w:t>
      </w:r>
      <w:r>
        <w:rPr>
          <w:rFonts w:ascii="Times New Roman" w:hAnsi="Times New Roman" w:cs="Times New Roman"/>
          <w:sz w:val="24"/>
          <w:szCs w:val="24"/>
        </w:rPr>
        <w:t>, обитающей в северной Пацифике, межгодовой изменчивости по доле реверсивных особей также не было отмечено (</w:t>
      </w:r>
      <w:r>
        <w:rPr>
          <w:rFonts w:ascii="Times New Roman" w:hAnsi="Times New Roman" w:cs="Times New Roman"/>
          <w:sz w:val="24"/>
          <w:szCs w:val="24"/>
          <w:lang w:val="en-US"/>
        </w:rPr>
        <w:t>Forrester</w:t>
      </w:r>
      <w:r>
        <w:rPr>
          <w:rFonts w:ascii="Times New Roman" w:hAnsi="Times New Roman" w:cs="Times New Roman"/>
          <w:sz w:val="24"/>
          <w:szCs w:val="24"/>
        </w:rPr>
        <w:t xml:space="preserve">, 1969; </w:t>
      </w:r>
      <w:r>
        <w:rPr>
          <w:rFonts w:ascii="Times New Roman" w:hAnsi="Times New Roman" w:cs="Times New Roman"/>
          <w:sz w:val="24"/>
          <w:szCs w:val="24"/>
          <w:lang w:val="en-US"/>
        </w:rPr>
        <w:t>Bergstrom</w:t>
      </w:r>
      <w:r>
        <w:rPr>
          <w:rFonts w:ascii="Times New Roman" w:hAnsi="Times New Roman" w:cs="Times New Roman"/>
          <w:sz w:val="24"/>
          <w:szCs w:val="24"/>
        </w:rPr>
        <w:t>, 2007).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нами результаты о незначительной межгодовой и многолетней изменчивости соотношения морф у камбалы из разных заливов Белого моря свидетельствуют о том, что доля левосторонних особей является популяционной характеристикой, которая наряду с другими признаками отражает своеобразие и степень дивергенции локальных популяций камбалы в Белом море. Межпопуляционное разнообразие речной камбалы по соотношению фенотипических морф, в свою очередь, свидетельствует о специфике локальных факторов и механизмов, поддерживающих его на определенном уровне в разных заливах Белого моря.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ЛИТЕРАТУРА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NewRoman" w:cs="Times New Roman"/>
          <w:iCs/>
          <w:sz w:val="24"/>
          <w:szCs w:val="24"/>
          <w:lang w:val="en-US"/>
        </w:rPr>
        <w:t>Altukhov</w:t>
      </w:r>
      <w:r>
        <w:rPr>
          <w:rFonts w:ascii="Times New Roman" w:hAnsi="Times New Roman" w:eastAsia="TimesNew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К. А., М</w:t>
      </w:r>
      <w:r>
        <w:rPr>
          <w:rFonts w:ascii="Times New Roman" w:hAnsi="Times New Roman" w:cs="Times New Roman"/>
          <w:sz w:val="24"/>
          <w:szCs w:val="24"/>
          <w:lang w:val="en-US"/>
        </w:rPr>
        <w:t>ikhailovskaya</w:t>
      </w:r>
      <w:r>
        <w:rPr>
          <w:rFonts w:ascii="Times New Roman" w:hAnsi="Times New Roman" w:cs="Times New Roman"/>
          <w:sz w:val="24"/>
          <w:szCs w:val="24"/>
        </w:rPr>
        <w:t xml:space="preserve"> А. А.,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Mukhomediyarov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Cs/>
          <w:sz w:val="24"/>
          <w:szCs w:val="24"/>
        </w:rPr>
        <w:t xml:space="preserve">.,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Nadezhin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Cs/>
          <w:sz w:val="24"/>
          <w:szCs w:val="24"/>
        </w:rPr>
        <w:t xml:space="preserve">.,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Novikov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Palenichko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eastAsia="TimesNewRoman" w:cs="Times New Roman"/>
          <w:iCs/>
          <w:sz w:val="24"/>
          <w:szCs w:val="24"/>
        </w:rPr>
        <w:t xml:space="preserve"> 1958. </w:t>
      </w:r>
      <w:r>
        <w:rPr>
          <w:rFonts w:ascii="Times New Roman" w:hAnsi="Times New Roman" w:eastAsia="TimesNewRoman" w:cs="Times New Roman"/>
          <w:iCs/>
          <w:sz w:val="24"/>
          <w:szCs w:val="24"/>
          <w:lang w:val="en-US"/>
        </w:rPr>
        <w:t>Fishes of the White Sea</w:t>
      </w:r>
      <w:r>
        <w:rPr>
          <w:rFonts w:ascii="Times New Roman" w:hAnsi="Times New Roman" w:cs="Times New Roman"/>
          <w:sz w:val="24"/>
          <w:szCs w:val="24"/>
          <w:lang w:val="en-US"/>
        </w:rPr>
        <w:t>. Gos.izd-vo Karel.ASSR, Petrozavodsk, 162 p.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Bergstrom, C. A. 2007. Morphological evidence of correlational selection and ecological segregation between dextral and sinistral forms in a polymorphic flatfish, Platichthys stellatus. Journal of Evolutionary Biology, 20, 1104–1114. https://doi.org/10.1111/j.1420-9101.2006.01290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Chilton D. E., Beamish R. J. Age determination methods for fishes studied by the groundfish program at the Pacific Biological Station // Canadian Special Publication of Fisheries and Aquatic Sciences. </w:t>
      </w:r>
      <w:r>
        <w:rPr>
          <w:rFonts w:ascii="Times New Roman" w:hAnsi="Times New Roman" w:cs="Times New Roman"/>
          <w:sz w:val="24"/>
          <w:szCs w:val="24"/>
        </w:rPr>
        <w:t>1982. N 60. 102 p.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Christensen J. M. Burning otoliths, a technique for age determination of soles and other fish. J. Cons. Perm. int. Explor. 1964. Mer. 29, 73–81.</w:t>
      </w:r>
    </w:p>
    <w:p>
      <w:p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Dietrich R.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2009. Populationsökologie der Plattfische (Familie Pleuronectidae) im Küsten- und Ästuarbereich des Weißen Meeres: Dissertation am Inst.Biowis. der Mathem.Natur.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Fuks GV 2015. Method of determining the age of the river flounder Platichthys flesus in the otoliths in the north-western regions of the Russian arctic seas. Educatio X(17): 27-30</w:t>
      </w:r>
    </w:p>
    <w:p>
      <w:p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Mikelsaar N. 1958. Method of equalized scales. In: Hydrobiological investigations. Tartu: Izd. Akad. Nauk ESSR, Issue 1: 286-312. [In Russian]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Nikolaev A.P. 1949. On the biology of European flounder from the Kuz Inlet.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Proceedings of the Karel.branch AS USSR</w:t>
      </w:r>
      <w:r>
        <w:rPr>
          <w:rFonts w:ascii="Times New Roman" w:hAnsi="Times New Roman" w:cs="Times New Roman"/>
          <w:sz w:val="24"/>
          <w:szCs w:val="24"/>
          <w:lang w:val="en-US"/>
        </w:rPr>
        <w:t>, 4: 43–51. [In Russian]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Core Team 2020</w:t>
      </w:r>
    </w:p>
    <w:p>
      <w:p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Semushin A.V., Fuks G.V. and Shilova N.A. 2015.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Flatfishes of the White Sea: New data on the biology of the Arctic flounder </w:t>
      </w:r>
      <w:r>
        <w:rPr>
          <w:rStyle w:val="4"/>
          <w:rFonts w:ascii="Times New Roman" w:hAnsi="Times New Roman"/>
          <w:sz w:val="24"/>
          <w:szCs w:val="24"/>
          <w:lang w:val="en"/>
        </w:rPr>
        <w:t>Liopsetta glacialis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European flounder </w:t>
      </w:r>
      <w:r>
        <w:rPr>
          <w:rStyle w:val="4"/>
          <w:rFonts w:ascii="Times New Roman" w:hAnsi="Times New Roman"/>
          <w:sz w:val="24"/>
          <w:szCs w:val="24"/>
          <w:lang w:val="en"/>
        </w:rPr>
        <w:t>Platichthys flesus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and common dab </w:t>
      </w:r>
      <w:r>
        <w:rPr>
          <w:rStyle w:val="4"/>
          <w:rFonts w:ascii="Times New Roman" w:hAnsi="Times New Roman"/>
          <w:sz w:val="24"/>
          <w:szCs w:val="24"/>
          <w:lang w:val="en"/>
        </w:rPr>
        <w:t>Limanda limanda</w:t>
      </w:r>
      <w:r>
        <w:rPr>
          <w:rStyle w:val="4"/>
          <w:rFonts w:ascii="Times New Roman" w:hAnsi="Times New Roman"/>
          <w:i w:val="0"/>
          <w:sz w:val="24"/>
          <w:szCs w:val="24"/>
          <w:lang w:val="en"/>
        </w:rPr>
        <w:t xml:space="preserve">. </w:t>
      </w:r>
      <w:r>
        <w:rPr>
          <w:rStyle w:val="4"/>
          <w:rFonts w:ascii="Times New Roman" w:hAnsi="Times New Roman"/>
          <w:sz w:val="24"/>
          <w:szCs w:val="24"/>
          <w:lang w:val="en"/>
        </w:rPr>
        <w:t>Journal of Ichthyology</w:t>
      </w:r>
      <w:r>
        <w:rPr>
          <w:rStyle w:val="4"/>
          <w:rFonts w:ascii="Times New Roman" w:hAnsi="Times New Roman"/>
          <w:i w:val="0"/>
          <w:sz w:val="24"/>
          <w:szCs w:val="24"/>
          <w:lang w:val="en"/>
        </w:rPr>
        <w:t xml:space="preserve">, 55: 527-539.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doi: </w:t>
      </w:r>
      <w:r>
        <w:rPr>
          <w:rFonts w:ascii="Times New Roman" w:hAnsi="Times New Roman" w:cs="Times New Roman"/>
          <w:sz w:val="24"/>
          <w:szCs w:val="24"/>
          <w:lang w:val="en-US"/>
        </w:rPr>
        <w:t>10.7868/S0042875215030157.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Shatunovsky M.I. 1964. Materials on systematics of European flounder </w:t>
      </w:r>
      <w:r>
        <w:rPr>
          <w:rFonts w:ascii="Times New Roman" w:hAnsi="Times New Roman" w:eastAsia="TimesNewRoman" w:cs="Times New Roman"/>
          <w:i/>
          <w:iCs/>
          <w:sz w:val="24"/>
          <w:szCs w:val="24"/>
          <w:lang w:val="en-US"/>
        </w:rPr>
        <w:t>Pleuronectes flesus</w:t>
      </w:r>
      <w:r>
        <w:rPr>
          <w:rFonts w:ascii="Times New Roman" w:hAnsi="Times New Roman" w:eastAsia="TimesNewRoman" w:cs="Times New Roman"/>
          <w:iCs/>
          <w:sz w:val="24"/>
          <w:szCs w:val="24"/>
          <w:lang w:val="en-US"/>
        </w:rPr>
        <w:t xml:space="preserve"> from the White Sea. </w:t>
      </w:r>
      <w:r>
        <w:rPr>
          <w:rFonts w:ascii="Times New Roman" w:hAnsi="Times New Roman" w:eastAsia="TimesNewRoman" w:cs="Times New Roman"/>
          <w:i/>
          <w:iCs/>
          <w:sz w:val="24"/>
          <w:szCs w:val="24"/>
          <w:lang w:val="en-US"/>
        </w:rPr>
        <w:t>Vestnik of Moscow State University,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NewRoman" w:cs="Times New Roman"/>
          <w:iCs/>
          <w:sz w:val="24"/>
          <w:szCs w:val="24"/>
          <w:lang w:val="en-US"/>
        </w:rPr>
        <w:t xml:space="preserve">1: 32-38. </w:t>
      </w:r>
      <w:r>
        <w:rPr>
          <w:rFonts w:ascii="Times New Roman" w:hAnsi="Times New Roman" w:cs="Times New Roman"/>
          <w:sz w:val="24"/>
          <w:szCs w:val="24"/>
          <w:lang w:val="en-US"/>
        </w:rPr>
        <w:t>[In Russian]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Shatunovsky MI and Chestnova LG (1970) Some biological characteristics of the flounder from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Kandalaksha Bay in the White Sea. Rep White Sea biol station State Univ Moscow 3: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166-188 [In Russian]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Sherstkov A.S. 2005b. Growth peculiarities of European flounder from the Onega Bay, the White Sea. </w:t>
      </w:r>
      <w:r>
        <w:rPr>
          <w:rFonts w:ascii="Times New Roman" w:hAnsi="Times New Roman" w:cs="Times New Roman"/>
          <w:sz w:val="24"/>
          <w:szCs w:val="24"/>
        </w:rPr>
        <w:t>KSTU News, 8: 85–94.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Style w:val="5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Yershov P.N., Matvienko 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and 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ristov D.A. Age and growth of European flounder from the Chupa Inlet (Kandalaksha Bay, White Sea).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Proceedings of the Zoological Institute RAS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fldChar w:fldCharType="begin"/>
      </w:r>
      <w:r>
        <w:instrText xml:space="preserve"> HYPERLINK "https://www.zin.ru/journals/trudyzin/eng/contents.html?year=2019" \t "_blank"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2019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323</w:t>
      </w:r>
      <w:r>
        <w:rPr>
          <w:rFonts w:ascii="Times New Roman" w:hAnsi="Times New Roman" w:cs="Times New Roman"/>
          <w:sz w:val="24"/>
          <w:szCs w:val="24"/>
          <w:lang w:val="en-US"/>
        </w:rPr>
        <w:t>(2): 93–104. </w:t>
      </w:r>
      <w:r>
        <w:fldChar w:fldCharType="begin"/>
      </w:r>
      <w:r>
        <w:instrText xml:space="preserve"> HYPERLINK "https://doi.org/10.31610/trudyzin/2019.323.2.93" \t "_blank"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https://doi.org/10.31610/trudyzin/2019.323.2.93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Yershov P.N., Matvienko 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and Voronina E.P. Variability of squamation of European flounder </w:t>
      </w:r>
      <w:r>
        <w:rPr>
          <w:rStyle w:val="4"/>
          <w:rFonts w:ascii="Times New Roman" w:hAnsi="Times New Roman"/>
          <w:sz w:val="24"/>
          <w:szCs w:val="24"/>
          <w:lang w:val="en"/>
        </w:rPr>
        <w:t>Platichthys flesus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(Pleuronectidae) in the White Sea.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Proceedings of the Zoological Institute RAS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fldChar w:fldCharType="begin"/>
      </w:r>
      <w:r>
        <w:instrText xml:space="preserve"> HYPERLINK "https://www.zin.ru/journals/trudyzin/eng/contents.html?year=2019" \t "_blank"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2019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323</w:t>
      </w:r>
      <w:r>
        <w:rPr>
          <w:rFonts w:ascii="Times New Roman" w:hAnsi="Times New Roman" w:cs="Times New Roman"/>
          <w:sz w:val="24"/>
          <w:szCs w:val="24"/>
          <w:lang w:val="en-US"/>
        </w:rPr>
        <w:t>(2): 105-111. </w:t>
      </w:r>
      <w:r>
        <w:rPr>
          <w:lang w:val="en-US"/>
        </w:rPr>
        <w:t> </w:t>
      </w:r>
      <w:r>
        <w:fldChar w:fldCharType="begin"/>
      </w:r>
      <w:r>
        <w:instrText xml:space="preserve"> HYPERLINK "https://doi.org/10.31610/trudyzin/2019.323.2.105" \t "_blank" </w:instrText>
      </w:r>
      <w:r>
        <w:fldChar w:fldCharType="separate"/>
      </w:r>
      <w:r>
        <w:rPr>
          <w:rStyle w:val="5"/>
          <w:lang w:val="en-US"/>
        </w:rPr>
        <w:t>https://doi.org/10.31610/trudyzin/2019.323.2.105</w:t>
      </w:r>
      <w:r>
        <w:rPr>
          <w:rStyle w:val="5"/>
          <w:lang w:val="en-US"/>
        </w:rPr>
        <w:fldChar w:fldCharType="end"/>
      </w:r>
      <w:r>
        <w:rPr>
          <w:lang w:val="en-US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Yershov P.N., Matvienko 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2018. </w:t>
      </w:r>
      <w:r>
        <w:rPr>
          <w:rFonts w:ascii="Times New Roman" w:hAnsi="Times New Roman" w:cs="Times New Roman"/>
          <w:sz w:val="24"/>
          <w:szCs w:val="24"/>
        </w:rPr>
        <w:t>Некоторые черты биологии и морфологии речной камбалы нубы Чупа (Кандалакшский залив, Белое море). В кн.: Биологические проблемы Севера: материалы международной научной конференции, посвященной памяти В.Л.Контримавичуса (Магадан, 18-22 сентября 2018 г.); [отв.ред. Е.В.Хаменкова]. Магадан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>.413-416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Zuur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>., 2009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left="540" w:hanging="540"/>
        <w:rPr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left="540" w:hanging="540"/>
        <w:rPr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left="540" w:hanging="54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imesNewRoman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6E"/>
    <w:rsid w:val="00005AD0"/>
    <w:rsid w:val="00021139"/>
    <w:rsid w:val="00044D8C"/>
    <w:rsid w:val="00055EF3"/>
    <w:rsid w:val="00056C8E"/>
    <w:rsid w:val="00060316"/>
    <w:rsid w:val="000A0DA8"/>
    <w:rsid w:val="000B771A"/>
    <w:rsid w:val="000C2E0B"/>
    <w:rsid w:val="000D3143"/>
    <w:rsid w:val="000D352F"/>
    <w:rsid w:val="00141F8A"/>
    <w:rsid w:val="00144537"/>
    <w:rsid w:val="00153BC6"/>
    <w:rsid w:val="00162130"/>
    <w:rsid w:val="001647A5"/>
    <w:rsid w:val="00183A21"/>
    <w:rsid w:val="001B6629"/>
    <w:rsid w:val="001B6EBE"/>
    <w:rsid w:val="001C6906"/>
    <w:rsid w:val="001D1800"/>
    <w:rsid w:val="001D1E83"/>
    <w:rsid w:val="001F7058"/>
    <w:rsid w:val="00202135"/>
    <w:rsid w:val="00210B95"/>
    <w:rsid w:val="00212588"/>
    <w:rsid w:val="00220D01"/>
    <w:rsid w:val="00235C95"/>
    <w:rsid w:val="00257962"/>
    <w:rsid w:val="00271F59"/>
    <w:rsid w:val="0028228A"/>
    <w:rsid w:val="00282BF4"/>
    <w:rsid w:val="002A0F83"/>
    <w:rsid w:val="002C0F0C"/>
    <w:rsid w:val="002C2078"/>
    <w:rsid w:val="002E6E8D"/>
    <w:rsid w:val="00303646"/>
    <w:rsid w:val="003368BD"/>
    <w:rsid w:val="00372CB1"/>
    <w:rsid w:val="003942B4"/>
    <w:rsid w:val="0039547E"/>
    <w:rsid w:val="003D607C"/>
    <w:rsid w:val="003F26A9"/>
    <w:rsid w:val="00416DDE"/>
    <w:rsid w:val="00444523"/>
    <w:rsid w:val="0044696C"/>
    <w:rsid w:val="004641F6"/>
    <w:rsid w:val="00474E59"/>
    <w:rsid w:val="0048203B"/>
    <w:rsid w:val="00490D11"/>
    <w:rsid w:val="004A2D98"/>
    <w:rsid w:val="004B1D5F"/>
    <w:rsid w:val="004F4935"/>
    <w:rsid w:val="004F560B"/>
    <w:rsid w:val="00523A79"/>
    <w:rsid w:val="00532709"/>
    <w:rsid w:val="00536BF8"/>
    <w:rsid w:val="00557BC0"/>
    <w:rsid w:val="00573B5B"/>
    <w:rsid w:val="005804DF"/>
    <w:rsid w:val="00584914"/>
    <w:rsid w:val="005914C2"/>
    <w:rsid w:val="005B44FC"/>
    <w:rsid w:val="005C510C"/>
    <w:rsid w:val="005C5E3A"/>
    <w:rsid w:val="005E020C"/>
    <w:rsid w:val="005F7B1E"/>
    <w:rsid w:val="00620E95"/>
    <w:rsid w:val="006355FE"/>
    <w:rsid w:val="0065278B"/>
    <w:rsid w:val="00674491"/>
    <w:rsid w:val="00682DFE"/>
    <w:rsid w:val="00683C83"/>
    <w:rsid w:val="00684A13"/>
    <w:rsid w:val="00694130"/>
    <w:rsid w:val="00695C27"/>
    <w:rsid w:val="006B7E9C"/>
    <w:rsid w:val="006C420D"/>
    <w:rsid w:val="006D0763"/>
    <w:rsid w:val="006E3625"/>
    <w:rsid w:val="006E7DE5"/>
    <w:rsid w:val="006F1E4E"/>
    <w:rsid w:val="006F3566"/>
    <w:rsid w:val="00704575"/>
    <w:rsid w:val="00705D75"/>
    <w:rsid w:val="007105A3"/>
    <w:rsid w:val="007205D8"/>
    <w:rsid w:val="0072436E"/>
    <w:rsid w:val="00727814"/>
    <w:rsid w:val="00735011"/>
    <w:rsid w:val="007423F7"/>
    <w:rsid w:val="00750151"/>
    <w:rsid w:val="00750741"/>
    <w:rsid w:val="00751A6B"/>
    <w:rsid w:val="0075370F"/>
    <w:rsid w:val="007668F3"/>
    <w:rsid w:val="0077743F"/>
    <w:rsid w:val="00787AE3"/>
    <w:rsid w:val="00795C82"/>
    <w:rsid w:val="007A0ED9"/>
    <w:rsid w:val="007B6448"/>
    <w:rsid w:val="007D6C3D"/>
    <w:rsid w:val="007E1E6E"/>
    <w:rsid w:val="007F135A"/>
    <w:rsid w:val="007F5CE2"/>
    <w:rsid w:val="008012AF"/>
    <w:rsid w:val="00826A6A"/>
    <w:rsid w:val="008403C9"/>
    <w:rsid w:val="00846227"/>
    <w:rsid w:val="008615AC"/>
    <w:rsid w:val="008C2AAC"/>
    <w:rsid w:val="008C44FF"/>
    <w:rsid w:val="008E184B"/>
    <w:rsid w:val="00936A7C"/>
    <w:rsid w:val="00942AEA"/>
    <w:rsid w:val="00945CC6"/>
    <w:rsid w:val="0094698D"/>
    <w:rsid w:val="00946E15"/>
    <w:rsid w:val="0095187A"/>
    <w:rsid w:val="00951A3D"/>
    <w:rsid w:val="00997C9A"/>
    <w:rsid w:val="009A0D2C"/>
    <w:rsid w:val="009B48CC"/>
    <w:rsid w:val="009B7105"/>
    <w:rsid w:val="009D67B6"/>
    <w:rsid w:val="00A064C3"/>
    <w:rsid w:val="00A07A29"/>
    <w:rsid w:val="00A326FE"/>
    <w:rsid w:val="00A36B23"/>
    <w:rsid w:val="00A56138"/>
    <w:rsid w:val="00A617DD"/>
    <w:rsid w:val="00A80EC0"/>
    <w:rsid w:val="00AA5846"/>
    <w:rsid w:val="00AA7ACA"/>
    <w:rsid w:val="00AC1C42"/>
    <w:rsid w:val="00AE2C05"/>
    <w:rsid w:val="00AE7786"/>
    <w:rsid w:val="00B044EB"/>
    <w:rsid w:val="00B315CA"/>
    <w:rsid w:val="00B41B62"/>
    <w:rsid w:val="00B53CA3"/>
    <w:rsid w:val="00B57679"/>
    <w:rsid w:val="00B70C25"/>
    <w:rsid w:val="00B7135E"/>
    <w:rsid w:val="00BA6EE3"/>
    <w:rsid w:val="00BB3002"/>
    <w:rsid w:val="00BB6A72"/>
    <w:rsid w:val="00BE70F7"/>
    <w:rsid w:val="00BF058B"/>
    <w:rsid w:val="00C17853"/>
    <w:rsid w:val="00C45470"/>
    <w:rsid w:val="00C50816"/>
    <w:rsid w:val="00C53541"/>
    <w:rsid w:val="00C5618C"/>
    <w:rsid w:val="00CB5B47"/>
    <w:rsid w:val="00CE2A1F"/>
    <w:rsid w:val="00CF057A"/>
    <w:rsid w:val="00D25214"/>
    <w:rsid w:val="00D34760"/>
    <w:rsid w:val="00D47F09"/>
    <w:rsid w:val="00D77774"/>
    <w:rsid w:val="00D8174C"/>
    <w:rsid w:val="00DA1F24"/>
    <w:rsid w:val="00DE6A11"/>
    <w:rsid w:val="00E24EED"/>
    <w:rsid w:val="00E27F54"/>
    <w:rsid w:val="00E443B2"/>
    <w:rsid w:val="00E47404"/>
    <w:rsid w:val="00E524F5"/>
    <w:rsid w:val="00E53FD2"/>
    <w:rsid w:val="00E63396"/>
    <w:rsid w:val="00E80FD4"/>
    <w:rsid w:val="00E924FC"/>
    <w:rsid w:val="00E96061"/>
    <w:rsid w:val="00EA037A"/>
    <w:rsid w:val="00EB223F"/>
    <w:rsid w:val="00EB3C70"/>
    <w:rsid w:val="00ED7256"/>
    <w:rsid w:val="00ED78ED"/>
    <w:rsid w:val="00EF702D"/>
    <w:rsid w:val="00F06880"/>
    <w:rsid w:val="00F21CAD"/>
    <w:rsid w:val="00F43674"/>
    <w:rsid w:val="00FA7B38"/>
    <w:rsid w:val="00FB1E60"/>
    <w:rsid w:val="00FB20DE"/>
    <w:rsid w:val="00FC756C"/>
    <w:rsid w:val="00FE4702"/>
    <w:rsid w:val="3D545E80"/>
    <w:rsid w:val="494A4109"/>
    <w:rsid w:val="6F341379"/>
    <w:rsid w:val="7B08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qFormat/>
    <w:uiPriority w:val="0"/>
    <w:rPr>
      <w:rFonts w:cs="Times New Roman"/>
      <w:i/>
    </w:rPr>
  </w:style>
  <w:style w:type="character" w:styleId="5">
    <w:name w:val="Hyperlink"/>
    <w:qFormat/>
    <w:uiPriority w:val="0"/>
    <w:rPr>
      <w:color w:val="0563C1"/>
      <w:u w:val="single"/>
    </w:rPr>
  </w:style>
  <w:style w:type="paragraph" w:styleId="6">
    <w:name w:val="caption"/>
    <w:basedOn w:val="1"/>
    <w:next w:val="1"/>
    <w:qFormat/>
    <w:uiPriority w:val="0"/>
    <w:pPr>
      <w:spacing w:after="120"/>
    </w:pPr>
    <w:rPr>
      <w:i/>
    </w:rPr>
  </w:style>
  <w:style w:type="paragraph" w:styleId="7">
    <w:name w:val="Body Text"/>
    <w:basedOn w:val="1"/>
    <w:link w:val="9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8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Основной текст Знак"/>
    <w:basedOn w:val="2"/>
    <w:link w:val="7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10">
    <w:name w:val="Table Caption"/>
    <w:basedOn w:val="6"/>
    <w:qFormat/>
    <w:uiPriority w:val="0"/>
    <w:pPr>
      <w:keepNext/>
    </w:pPr>
  </w:style>
  <w:style w:type="paragraph" w:customStyle="1" w:styleId="11">
    <w:name w:val="Compact"/>
    <w:basedOn w:val="7"/>
    <w:qFormat/>
    <w:uiPriority w:val="0"/>
    <w:pPr>
      <w:spacing w:before="36" w:after="36"/>
    </w:pPr>
  </w:style>
  <w:style w:type="table" w:customStyle="1" w:styleId="1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styleId="13">
    <w:name w:val="No Spacing"/>
    <w:qFormat/>
    <w:uiPriority w:val="99"/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14">
    <w:name w:val="p3"/>
    <w:basedOn w:val="1"/>
    <w:qFormat/>
    <w:uiPriority w:val="0"/>
    <w:pPr>
      <w:spacing w:before="100" w:beforeAutospacing="1" w:after="100" w:afterAutospacing="1" w:line="240" w:lineRule="auto"/>
      <w:jc w:val="both"/>
    </w:pPr>
    <w:rPr>
      <w:rFonts w:ascii="Arial" w:hAnsi="Arial" w:eastAsia="Times New Roman" w:cs="Arial"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D35F79-6E9F-48CE-A6DD-1EDA429DE6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1826</Words>
  <Characters>10413</Characters>
  <Lines>86</Lines>
  <Paragraphs>24</Paragraphs>
  <TotalTime>10</TotalTime>
  <ScaleCrop>false</ScaleCrop>
  <LinksUpToDate>false</LinksUpToDate>
  <CharactersWithSpaces>12215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2021-05-12T07:17:00Z</dcterms:created>
  <dc:creator>Петр Ершов</dc:creator>
  <cp:lastModifiedBy>polyd</cp:lastModifiedBy>
  <dcterms:modified xsi:type="dcterms:W3CDTF">2021-05-12T09:00:10Z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