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  <w:ind w:firstLine="0"/>
        <w:rPr>
          <w:i/>
        </w:rPr>
      </w:pPr>
      <w:bookmarkStart w:id="0" w:name="результаты-исследования"/>
      <w:r>
        <w:rPr>
          <w:i/>
        </w:rPr>
        <w:t>РЕЗУЛЬТАТЫ ИССЛЕДОВАНИЯ</w:t>
      </w:r>
      <w:bookmarkEnd w:id="0"/>
    </w:p>
    <w:p>
      <w:pPr>
        <w:pStyle w:val="5"/>
        <w:spacing w:line="240" w:lineRule="auto"/>
        <w:ind w:firstLine="0"/>
      </w:pPr>
      <w:r>
        <w:t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1). Более того, среди рыб одного пола кривые линейного роста лево- и правосторонних особей не различались (F=0.54 для самцов и F=1.29 для самок; р&gt;0.05). Эти данные были получены для наиболее многочисленной выборки камбалы из Онежского залива (n=4791 экз.).</w:t>
      </w:r>
    </w:p>
    <w:p>
      <w:pPr>
        <w:pStyle w:val="5"/>
        <w:spacing w:line="240" w:lineRule="auto"/>
        <w:ind w:firstLine="0"/>
      </w:pPr>
      <w:r>
        <w:t xml:space="preserve">Среди рыб обеих морф самцы и самки из Кандалакшского залива оказались крупнее, чем рыбы того же пола из Онежского и Мезенского заливов. </w:t>
      </w:r>
    </w:p>
    <w:p/>
    <w:p>
      <w:pPr>
        <w:pStyle w:val="5"/>
        <w:spacing w:line="240" w:lineRule="auto"/>
        <w:ind w:firstLine="0"/>
      </w:pPr>
      <w:r>
        <w:rPr>
          <w:lang w:eastAsia="ru-RU"/>
        </w:rPr>
        <w:drawing>
          <wp:inline distT="0" distB="0" distL="0" distR="0">
            <wp:extent cx="5924550" cy="5534025"/>
            <wp:effectExtent l="0" t="0" r="0" b="9525"/>
            <wp:docPr id="2" name="Рисунок 2" descr="Рисунок 3. Характеристика размерного состава камбал в разных заливах Белого мор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Рисунок 3. Характеристика размерного состава камбал в разных заливах Белого моря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Рисунок 1. Характеристика размерного состава камбал в разных заливах Белого моря. Т</w:t>
      </w:r>
      <w:r>
        <w:rPr>
          <w:lang w:val="en-US"/>
        </w:rPr>
        <w:t xml:space="preserve">riangular notches in the box plots that do not overlap indicate significantly different medians. </w:t>
      </w:r>
    </w:p>
    <w:p>
      <w:pPr>
        <w:rPr>
          <w:lang w:val="en-US"/>
        </w:rPr>
      </w:pPr>
    </w:p>
    <w:p>
      <w:pPr>
        <w:pStyle w:val="5"/>
        <w:spacing w:line="240" w:lineRule="auto"/>
        <w:ind w:firstLine="0"/>
        <w:rPr>
          <w:lang w:val="en-US"/>
        </w:rPr>
      </w:pPr>
    </w:p>
    <w:p>
      <w:pPr>
        <w:pStyle w:val="5"/>
        <w:spacing w:line="240" w:lineRule="auto"/>
        <w:ind w:firstLine="0"/>
      </w:pPr>
      <w:r>
        <w:t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 М1. В качестве предикторов в модели выступали переменные “</w:t>
      </w:r>
      <w:r>
        <w:rPr>
          <w:i/>
        </w:rPr>
        <w:t>Bay</w:t>
      </w:r>
      <w:r>
        <w:t>” (дискретный фактор с четырьмя градациями), “</w:t>
      </w:r>
      <w:r>
        <w:rPr>
          <w:i/>
        </w:rPr>
        <w:t>Sex</w:t>
      </w:r>
      <w:r>
        <w:t>” (дискретный фактор с двумя градациями), “</w:t>
      </w:r>
      <w:r>
        <w:rPr>
          <w:i/>
        </w:rPr>
        <w:t>Length</w:t>
      </w:r>
      <w:r>
        <w:t>” (непрерывная ковариата) и все возможные взаимодействия предикторов. Информационный критерий Акайке (</w:t>
      </w:r>
      <w:r>
        <w:rPr>
          <w:lang w:val="en-US"/>
        </w:rPr>
        <w:t>AIC</w:t>
      </w:r>
      <w:r>
        <w:t>) для данной модели составлял 8444.4. Обратное пошаговое упрощение модели (</w:t>
      </w:r>
      <w:r>
        <w:rPr>
          <w:lang w:val="en-US"/>
        </w:rPr>
        <w:t>backward</w:t>
      </w:r>
      <w:r>
        <w:t xml:space="preserve"> </w:t>
      </w:r>
      <w:r>
        <w:rPr>
          <w:lang w:val="en-US"/>
        </w:rPr>
        <w:t>selection</w:t>
      </w:r>
      <w:r>
        <w:t xml:space="preserve">) позволило </w:t>
      </w:r>
      <w:r>
        <w:rPr>
          <w:highlight w:val="none"/>
        </w:rPr>
        <w:t>удалить из нее фактор “</w:t>
      </w:r>
      <w:r>
        <w:rPr>
          <w:i/>
          <w:highlight w:val="none"/>
        </w:rPr>
        <w:t>Sex</w:t>
      </w:r>
      <w:r>
        <w:rPr>
          <w:highlight w:val="none"/>
        </w:rPr>
        <w:t>” и все несущественные</w:t>
      </w:r>
      <w:r>
        <w:rPr>
          <w:rFonts w:hint="default"/>
          <w:highlight w:val="none"/>
          <w:lang w:val="en-US"/>
        </w:rPr>
        <w:t xml:space="preserve"> </w:t>
      </w:r>
      <w:r>
        <w:rPr>
          <w:highlight w:val="none"/>
        </w:rPr>
        <w:t>взаимодействия предикторов (</w:t>
      </w:r>
      <w:r>
        <w:t xml:space="preserve">для финальной модели </w:t>
      </w:r>
      <w:r>
        <w:rPr>
          <w:lang w:val="en-US"/>
        </w:rPr>
        <w:t>AIC</w:t>
      </w:r>
      <w:r>
        <w:t>=8441.4).  Таким образом, статистически значимое воздействие на частоту реверсивных особей оказывают место обитания популяции (фактор “</w:t>
      </w:r>
      <w:r>
        <w:rPr>
          <w:i/>
        </w:rPr>
        <w:t>Bay</w:t>
      </w:r>
      <w:r>
        <w:t>”) и размер особей (фактор “</w:t>
      </w:r>
      <w:r>
        <w:rPr>
          <w:i/>
        </w:rPr>
        <w:t>Length</w:t>
      </w:r>
      <w:r>
        <w:t>”). Параметры полученной финальной модели представлены в табл. 1.</w:t>
      </w:r>
    </w:p>
    <w:p>
      <w:pPr>
        <w:pStyle w:val="5"/>
        <w:spacing w:line="240" w:lineRule="auto"/>
        <w:ind w:firstLine="0"/>
      </w:pPr>
    </w:p>
    <w:p>
      <w:pPr>
        <w:pStyle w:val="5"/>
        <w:spacing w:line="240" w:lineRule="auto"/>
        <w:ind w:firstLine="0"/>
      </w:pPr>
    </w:p>
    <w:p>
      <w:pPr>
        <w:pStyle w:val="5"/>
        <w:spacing w:line="240" w:lineRule="auto"/>
        <w:ind w:firstLine="0"/>
        <w:rPr>
          <w:rFonts w:ascii="SimSun" w:hAnsi="SimSun" w:eastAsia="SimSun" w:cs="SimSun"/>
        </w:rPr>
      </w:pPr>
      <w:r>
        <w:rPr>
          <w:rFonts w:ascii="SimSun" w:hAnsi="SimSun" w:eastAsia="SimSun" w:cs="SimSun"/>
          <w:lang w:val="en-US"/>
        </w:rPr>
        <w:t>termestimatestd</w:t>
      </w:r>
      <w:r>
        <w:rPr>
          <w:rFonts w:ascii="SimSun" w:hAnsi="SimSun" w:eastAsia="SimSun" w:cs="SimSun"/>
        </w:rPr>
        <w:t>.</w:t>
      </w:r>
      <w:r>
        <w:rPr>
          <w:rFonts w:ascii="SimSun" w:hAnsi="SimSun" w:eastAsia="SimSun" w:cs="SimSun"/>
          <w:lang w:val="en-US"/>
        </w:rPr>
        <w:t>errorstatisticp</w:t>
      </w:r>
      <w:r>
        <w:rPr>
          <w:rFonts w:ascii="SimSun" w:hAnsi="SimSun" w:eastAsia="SimSun" w:cs="SimSun"/>
        </w:rPr>
        <w:t>.</w:t>
      </w:r>
      <w:r>
        <w:rPr>
          <w:rFonts w:ascii="SimSun" w:hAnsi="SimSun" w:eastAsia="SimSun" w:cs="SimSun"/>
          <w:lang w:val="en-US"/>
        </w:rPr>
        <w:t>value</w:t>
      </w:r>
      <w:r>
        <w:rPr>
          <w:rFonts w:ascii="SimSun" w:hAnsi="SimSun" w:eastAsia="SimSun" w:cs="SimSun"/>
        </w:rPr>
        <w:t>(</w:t>
      </w:r>
      <w:r>
        <w:rPr>
          <w:rFonts w:ascii="SimSun" w:hAnsi="SimSun" w:eastAsia="SimSun" w:cs="SimSun"/>
          <w:lang w:val="en-US"/>
        </w:rPr>
        <w:t>Intercept</w:t>
      </w:r>
      <w:r>
        <w:rPr>
          <w:rFonts w:ascii="SimSun" w:hAnsi="SimSun" w:eastAsia="SimSun" w:cs="SimSun"/>
        </w:rPr>
        <w:t>)-1.36654270.0923012-14.805260.0000000</w:t>
      </w:r>
      <w:r>
        <w:rPr>
          <w:rFonts w:ascii="SimSun" w:hAnsi="SimSun" w:eastAsia="SimSun" w:cs="SimSun"/>
          <w:lang w:val="en-US"/>
        </w:rPr>
        <w:t>L</w:t>
      </w:r>
      <w:r>
        <w:rPr>
          <w:rFonts w:ascii="SimSun" w:hAnsi="SimSun" w:eastAsia="SimSun" w:cs="SimSun"/>
        </w:rPr>
        <w:t>0.01712310.00459503.726450.0001942</w:t>
      </w:r>
      <w:r>
        <w:rPr>
          <w:rFonts w:ascii="SimSun" w:hAnsi="SimSun" w:eastAsia="SimSun" w:cs="SimSun"/>
          <w:lang w:val="en-US"/>
        </w:rPr>
        <w:t>BayDvina</w:t>
      </w:r>
      <w:r>
        <w:rPr>
          <w:rFonts w:ascii="SimSun" w:hAnsi="SimSun" w:eastAsia="SimSun" w:cs="SimSun"/>
        </w:rPr>
        <w:t>_</w:t>
      </w:r>
      <w:r>
        <w:rPr>
          <w:rFonts w:ascii="SimSun" w:hAnsi="SimSun" w:eastAsia="SimSun" w:cs="SimSun"/>
          <w:lang w:val="en-US"/>
        </w:rPr>
        <w:t>Bay</w:t>
      </w:r>
      <w:r>
        <w:rPr>
          <w:rFonts w:ascii="SimSun" w:hAnsi="SimSun" w:eastAsia="SimSun" w:cs="SimSun"/>
        </w:rPr>
        <w:t>-1.89773940.0740390-25.631620.0000000</w:t>
      </w:r>
      <w:r>
        <w:rPr>
          <w:rFonts w:ascii="SimSun" w:hAnsi="SimSun" w:eastAsia="SimSun" w:cs="SimSun"/>
          <w:lang w:val="en-US"/>
        </w:rPr>
        <w:t>BayKandalaksha</w:t>
      </w:r>
      <w:r>
        <w:rPr>
          <w:rFonts w:ascii="SimSun" w:hAnsi="SimSun" w:eastAsia="SimSun" w:cs="SimSun"/>
        </w:rPr>
        <w:t>_</w:t>
      </w:r>
      <w:r>
        <w:rPr>
          <w:rFonts w:ascii="SimSun" w:hAnsi="SimSun" w:eastAsia="SimSun" w:cs="SimSun"/>
          <w:lang w:val="en-US"/>
        </w:rPr>
        <w:t>Bay</w:t>
      </w:r>
      <w:r>
        <w:rPr>
          <w:rFonts w:ascii="SimSun" w:hAnsi="SimSun" w:eastAsia="SimSun" w:cs="SimSun"/>
        </w:rPr>
        <w:t>0.18442770.12825471.437980.1504397</w:t>
      </w:r>
      <w:r>
        <w:rPr>
          <w:rFonts w:ascii="SimSun" w:hAnsi="SimSun" w:eastAsia="SimSun" w:cs="SimSun"/>
          <w:lang w:val="en-US"/>
        </w:rPr>
        <w:t>BayMezen</w:t>
      </w:r>
      <w:r>
        <w:rPr>
          <w:rFonts w:ascii="SimSun" w:hAnsi="SimSun" w:eastAsia="SimSun" w:cs="SimSun"/>
        </w:rPr>
        <w:t>_</w:t>
      </w:r>
      <w:r>
        <w:rPr>
          <w:rFonts w:ascii="SimSun" w:hAnsi="SimSun" w:eastAsia="SimSun" w:cs="SimSun"/>
          <w:lang w:val="en-US"/>
        </w:rPr>
        <w:t>Bay</w:t>
      </w:r>
      <w:r>
        <w:rPr>
          <w:rFonts w:ascii="SimSun" w:hAnsi="SimSun" w:eastAsia="SimSun" w:cs="SimSun"/>
        </w:rPr>
        <w:t>-2.30573010.1213201-19.005340.0000000</w:t>
      </w:r>
    </w:p>
    <w:p>
      <w:pPr>
        <w:pStyle w:val="5"/>
        <w:spacing w:line="240" w:lineRule="auto"/>
        <w:ind w:firstLine="0"/>
        <w:rPr>
          <w:rFonts w:ascii="SimSun" w:hAnsi="SimSun" w:eastAsia="SimSun" w:cs="SimSun"/>
        </w:rPr>
      </w:pPr>
    </w:p>
    <w:p>
      <w:pPr>
        <w:pStyle w:val="5"/>
        <w:spacing w:line="240" w:lineRule="auto"/>
        <w:ind w:firstLine="0"/>
        <w:rPr>
          <w:rFonts w:ascii="SimSun" w:hAnsi="SimSun" w:eastAsia="SimSun" w:cs="SimSun"/>
        </w:rPr>
      </w:pPr>
    </w:p>
    <w:p>
      <w:pPr>
        <w:pStyle w:val="5"/>
        <w:spacing w:line="240" w:lineRule="auto"/>
        <w:ind w:firstLine="0"/>
      </w:pPr>
      <w:r>
        <w:t xml:space="preserve">Согласно полученной модели, в разных заливах Белого моря значения частот реверсивных особей существенно различаются (Рис. 1 столбики). Максимальные значения признака наблюдались в Кандалакшском и Онежском заливах, а в Двинском и Мезенском заливах они были в несколько раз меньше. </w:t>
      </w:r>
    </w:p>
    <w:p>
      <w:pPr>
        <w:spacing w:before="100" w:beforeAutospacing="1" w:after="100" w:afterAutospacing="1"/>
      </w:pPr>
      <w:r>
        <w:t xml:space="preserve">Отсутствие взаимодействия предикторов </w:t>
      </w:r>
      <w:r>
        <w:rPr>
          <w:highlight w:val="yellow"/>
        </w:rPr>
        <w:t>“</w:t>
      </w:r>
      <w:r>
        <w:rPr>
          <w:i/>
          <w:highlight w:val="yellow"/>
        </w:rPr>
        <w:t>Bay</w:t>
      </w:r>
      <w:r>
        <w:rPr>
          <w:highlight w:val="yellow"/>
        </w:rPr>
        <w:t>” и “</w:t>
      </w:r>
      <w:r>
        <w:rPr>
          <w:i/>
          <w:highlight w:val="yellow"/>
        </w:rPr>
        <w:t>Length</w:t>
      </w:r>
      <w:r>
        <w:t>” говорит о том, что в каждой из исследованных четырех популяций беломорской камбалы связь частоты реверсивных особей с размером однотипна: частота возрастает по мере увеличения размера. Отношение шансов (</w:t>
      </w:r>
      <w:r>
        <w:rPr>
          <w:lang w:val="en-US"/>
        </w:rPr>
        <w:t>odds</w:t>
      </w:r>
      <w:r>
        <w:t xml:space="preserve"> </w:t>
      </w:r>
      <w:r>
        <w:rPr>
          <w:lang w:val="en-US"/>
        </w:rPr>
        <w:t>ratio</w:t>
      </w:r>
      <w:r>
        <w:t xml:space="preserve">) встретить реверсивную особь при увеличении размера на 1 см возрастает в </w:t>
      </w:r>
      <w:r>
        <w:rPr>
          <w:lang w:val="en-US"/>
        </w:rPr>
        <w:t>e</w:t>
      </w:r>
      <w:r>
        <w:rPr>
          <w:vertAlign w:val="superscript"/>
        </w:rPr>
        <w:t xml:space="preserve">0.017 </w:t>
      </w:r>
      <w:r>
        <w:t>= 1.02 раза. Визуализация полученной модели для выборки камбалы из Онежского залива, которая была наибольшей в исследованном материале, приведена на рисунке 2А.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drawing>
          <wp:inline distT="0" distB="0" distL="114300" distR="114300">
            <wp:extent cx="5939790" cy="3677285"/>
            <wp:effectExtent l="0" t="0" r="381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</w:pPr>
      <w:r>
        <w:t xml:space="preserve">Для этой же выборки с помощью регрессионной логистической модели М2 была проанализирована связь частоты встречаемости реверсивных особей среди рыб разного возраста и пола. Предикторами в данной модели являлись </w:t>
      </w:r>
      <w:r>
        <w:rPr>
          <w:highlight w:val="yellow"/>
        </w:rPr>
        <w:t>факторы</w:t>
      </w:r>
      <w:r>
        <w:t xml:space="preserve"> “</w:t>
      </w:r>
      <w:r>
        <w:rPr>
          <w:lang w:val="en-US"/>
        </w:rPr>
        <w:t>Age</w:t>
      </w:r>
      <w:r>
        <w:t>”, “</w:t>
      </w:r>
      <w:r>
        <w:rPr>
          <w:lang w:val="en-US"/>
        </w:rPr>
        <w:t>Sex</w:t>
      </w:r>
      <w:r>
        <w:t>”. Параметры полученной модели приведены в таблиц</w:t>
      </w:r>
      <w:r>
        <w:rPr>
          <w:rFonts w:hint="default"/>
          <w:lang w:val="ru-RU"/>
        </w:rPr>
        <w:t>е</w:t>
      </w:r>
      <w:r>
        <w:t xml:space="preserve"> </w:t>
      </w:r>
      <w:r>
        <w:rPr>
          <w:rFonts w:hint="default"/>
          <w:lang w:val="ru-RU"/>
        </w:rPr>
        <w:t>+</w:t>
      </w:r>
      <w:bookmarkStart w:id="1" w:name="_GoBack"/>
      <w:bookmarkEnd w:id="1"/>
      <w:r>
        <w:t>. Как видно из приведенных данных, значимого взаимодействия предикторов не наблюдается. Не было выявлено и значимого влияния пола. Вместе с тем, зависимость вероятности встретить реверсивную особь от возраста рыб в исследованном диапазоне возрастных групп была статистически достоверной (Таблица 3): чем старше рыба, тем выше доля левосторонних особей среди рыб-ровесников (Рисунок 2В).</w:t>
      </w:r>
    </w:p>
    <w:p>
      <w:pPr>
        <w:pStyle w:val="5"/>
        <w:spacing w:line="240" w:lineRule="auto"/>
        <w:ind w:firstLine="0"/>
      </w:pPr>
    </w:p>
    <w:p>
      <w:pPr>
        <w:pStyle w:val="5"/>
        <w:spacing w:line="240" w:lineRule="auto"/>
        <w:ind w:firstLine="0"/>
      </w:pPr>
      <w:r>
        <w:t xml:space="preserve">Рисунок.  Изменения частот реверсивных особей в популяции речной камбалы Онежского залива среди рыб разного размера (А) и возраста (В). </w:t>
      </w:r>
    </w:p>
    <w:p/>
    <w:p>
      <w:r>
        <w:rPr>
          <w:b/>
        </w:rPr>
        <w:t>Таблица 3.</w:t>
      </w:r>
      <w:r>
        <w:t xml:space="preserve"> Параметры модели.</w:t>
      </w:r>
    </w:p>
    <w:p>
      <w:pPr>
        <w:rPr>
          <w:b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F9"/>
    <w:rsid w:val="00011B8B"/>
    <w:rsid w:val="00015AA2"/>
    <w:rsid w:val="000240AD"/>
    <w:rsid w:val="000361CE"/>
    <w:rsid w:val="00061EF6"/>
    <w:rsid w:val="0006594F"/>
    <w:rsid w:val="000919E1"/>
    <w:rsid w:val="0009527E"/>
    <w:rsid w:val="000A1CD8"/>
    <w:rsid w:val="000C6322"/>
    <w:rsid w:val="000C649C"/>
    <w:rsid w:val="000E0EDF"/>
    <w:rsid w:val="000E563A"/>
    <w:rsid w:val="000E58D3"/>
    <w:rsid w:val="00114CDE"/>
    <w:rsid w:val="001166CB"/>
    <w:rsid w:val="00133423"/>
    <w:rsid w:val="00160325"/>
    <w:rsid w:val="00160384"/>
    <w:rsid w:val="00170C98"/>
    <w:rsid w:val="00185D6F"/>
    <w:rsid w:val="001A146F"/>
    <w:rsid w:val="001A3C04"/>
    <w:rsid w:val="001A46E8"/>
    <w:rsid w:val="001B27F9"/>
    <w:rsid w:val="001B7838"/>
    <w:rsid w:val="001D0AA7"/>
    <w:rsid w:val="001E130F"/>
    <w:rsid w:val="001E5646"/>
    <w:rsid w:val="00202430"/>
    <w:rsid w:val="00214AA2"/>
    <w:rsid w:val="00224B63"/>
    <w:rsid w:val="00241EA6"/>
    <w:rsid w:val="002468CA"/>
    <w:rsid w:val="002549EA"/>
    <w:rsid w:val="00262B49"/>
    <w:rsid w:val="00274EE2"/>
    <w:rsid w:val="00282F40"/>
    <w:rsid w:val="002A3BF1"/>
    <w:rsid w:val="002B5AB4"/>
    <w:rsid w:val="002C5DE3"/>
    <w:rsid w:val="002F4132"/>
    <w:rsid w:val="002F4ABF"/>
    <w:rsid w:val="0030131C"/>
    <w:rsid w:val="003033D6"/>
    <w:rsid w:val="00323007"/>
    <w:rsid w:val="00323D01"/>
    <w:rsid w:val="003306C6"/>
    <w:rsid w:val="00335615"/>
    <w:rsid w:val="00340AFB"/>
    <w:rsid w:val="003432BB"/>
    <w:rsid w:val="00373FB8"/>
    <w:rsid w:val="0038179C"/>
    <w:rsid w:val="00383335"/>
    <w:rsid w:val="00385DBB"/>
    <w:rsid w:val="003927A8"/>
    <w:rsid w:val="003A4F21"/>
    <w:rsid w:val="003A5631"/>
    <w:rsid w:val="003B0AE7"/>
    <w:rsid w:val="003B0EE8"/>
    <w:rsid w:val="003B3566"/>
    <w:rsid w:val="003B387E"/>
    <w:rsid w:val="003B7AD0"/>
    <w:rsid w:val="003C1ABC"/>
    <w:rsid w:val="003C2545"/>
    <w:rsid w:val="003D1E40"/>
    <w:rsid w:val="003D3AC8"/>
    <w:rsid w:val="003D6BA3"/>
    <w:rsid w:val="003E4834"/>
    <w:rsid w:val="003F32EC"/>
    <w:rsid w:val="004042EF"/>
    <w:rsid w:val="00404BDE"/>
    <w:rsid w:val="0040754D"/>
    <w:rsid w:val="00420ABC"/>
    <w:rsid w:val="00441199"/>
    <w:rsid w:val="00461167"/>
    <w:rsid w:val="00482CDD"/>
    <w:rsid w:val="004845EA"/>
    <w:rsid w:val="004861E3"/>
    <w:rsid w:val="004A6E30"/>
    <w:rsid w:val="004B4497"/>
    <w:rsid w:val="004C31EF"/>
    <w:rsid w:val="004D43D5"/>
    <w:rsid w:val="004E5746"/>
    <w:rsid w:val="004F4DE5"/>
    <w:rsid w:val="0051798A"/>
    <w:rsid w:val="00525307"/>
    <w:rsid w:val="00526667"/>
    <w:rsid w:val="00562040"/>
    <w:rsid w:val="00571E60"/>
    <w:rsid w:val="0057659D"/>
    <w:rsid w:val="00595322"/>
    <w:rsid w:val="00597756"/>
    <w:rsid w:val="005B70A7"/>
    <w:rsid w:val="005B744D"/>
    <w:rsid w:val="005C2366"/>
    <w:rsid w:val="005C7469"/>
    <w:rsid w:val="005E1CF1"/>
    <w:rsid w:val="005E779F"/>
    <w:rsid w:val="005F03FF"/>
    <w:rsid w:val="005F41D8"/>
    <w:rsid w:val="006048BE"/>
    <w:rsid w:val="0063078B"/>
    <w:rsid w:val="00635B7E"/>
    <w:rsid w:val="00654FA4"/>
    <w:rsid w:val="00663F63"/>
    <w:rsid w:val="00664485"/>
    <w:rsid w:val="00664B45"/>
    <w:rsid w:val="006A2D7A"/>
    <w:rsid w:val="006A6964"/>
    <w:rsid w:val="006B1227"/>
    <w:rsid w:val="006B5BF0"/>
    <w:rsid w:val="006C27A1"/>
    <w:rsid w:val="006C6239"/>
    <w:rsid w:val="006F2F18"/>
    <w:rsid w:val="00732863"/>
    <w:rsid w:val="00734842"/>
    <w:rsid w:val="00743C98"/>
    <w:rsid w:val="00744C49"/>
    <w:rsid w:val="00750E92"/>
    <w:rsid w:val="0075277A"/>
    <w:rsid w:val="00753759"/>
    <w:rsid w:val="00754EF1"/>
    <w:rsid w:val="00765EE6"/>
    <w:rsid w:val="0076705F"/>
    <w:rsid w:val="007675B9"/>
    <w:rsid w:val="007744C4"/>
    <w:rsid w:val="0079335B"/>
    <w:rsid w:val="00793949"/>
    <w:rsid w:val="007C1894"/>
    <w:rsid w:val="007D11E9"/>
    <w:rsid w:val="007D3068"/>
    <w:rsid w:val="007D35CC"/>
    <w:rsid w:val="007E53BE"/>
    <w:rsid w:val="007F45C6"/>
    <w:rsid w:val="00800CF5"/>
    <w:rsid w:val="0081034D"/>
    <w:rsid w:val="00816771"/>
    <w:rsid w:val="008200E9"/>
    <w:rsid w:val="0082510A"/>
    <w:rsid w:val="008312B1"/>
    <w:rsid w:val="008643D1"/>
    <w:rsid w:val="00877641"/>
    <w:rsid w:val="00880666"/>
    <w:rsid w:val="0088679D"/>
    <w:rsid w:val="0089627E"/>
    <w:rsid w:val="008A1D0D"/>
    <w:rsid w:val="008A3785"/>
    <w:rsid w:val="008C0E5D"/>
    <w:rsid w:val="008C49C8"/>
    <w:rsid w:val="008D09B2"/>
    <w:rsid w:val="008E4C98"/>
    <w:rsid w:val="008E6F72"/>
    <w:rsid w:val="008F7067"/>
    <w:rsid w:val="009274E7"/>
    <w:rsid w:val="00946CBD"/>
    <w:rsid w:val="00952C6C"/>
    <w:rsid w:val="00957072"/>
    <w:rsid w:val="00967045"/>
    <w:rsid w:val="009678AC"/>
    <w:rsid w:val="009841EC"/>
    <w:rsid w:val="009A2C90"/>
    <w:rsid w:val="009B6479"/>
    <w:rsid w:val="009C48A1"/>
    <w:rsid w:val="009D4573"/>
    <w:rsid w:val="00A27646"/>
    <w:rsid w:val="00A50A9E"/>
    <w:rsid w:val="00A56096"/>
    <w:rsid w:val="00A571D0"/>
    <w:rsid w:val="00A5765F"/>
    <w:rsid w:val="00A60F59"/>
    <w:rsid w:val="00A67DDA"/>
    <w:rsid w:val="00A70B39"/>
    <w:rsid w:val="00A70CB5"/>
    <w:rsid w:val="00A93A0E"/>
    <w:rsid w:val="00A94873"/>
    <w:rsid w:val="00A956A8"/>
    <w:rsid w:val="00AA0CC9"/>
    <w:rsid w:val="00AA43B6"/>
    <w:rsid w:val="00AF6FF7"/>
    <w:rsid w:val="00B04284"/>
    <w:rsid w:val="00B04741"/>
    <w:rsid w:val="00B121FA"/>
    <w:rsid w:val="00B21275"/>
    <w:rsid w:val="00B31B40"/>
    <w:rsid w:val="00B344F5"/>
    <w:rsid w:val="00B456B0"/>
    <w:rsid w:val="00B65A64"/>
    <w:rsid w:val="00B73906"/>
    <w:rsid w:val="00B74AE4"/>
    <w:rsid w:val="00B920FF"/>
    <w:rsid w:val="00BB091E"/>
    <w:rsid w:val="00BC5061"/>
    <w:rsid w:val="00BD50FD"/>
    <w:rsid w:val="00BE4A09"/>
    <w:rsid w:val="00BF0FBF"/>
    <w:rsid w:val="00BF50CC"/>
    <w:rsid w:val="00C15B38"/>
    <w:rsid w:val="00C43072"/>
    <w:rsid w:val="00C47C51"/>
    <w:rsid w:val="00C51E0C"/>
    <w:rsid w:val="00C53358"/>
    <w:rsid w:val="00C653AE"/>
    <w:rsid w:val="00C72881"/>
    <w:rsid w:val="00C7375E"/>
    <w:rsid w:val="00C80ED1"/>
    <w:rsid w:val="00C85040"/>
    <w:rsid w:val="00C919F4"/>
    <w:rsid w:val="00CA0134"/>
    <w:rsid w:val="00CA17DE"/>
    <w:rsid w:val="00CC1FA9"/>
    <w:rsid w:val="00CC7C97"/>
    <w:rsid w:val="00CE4528"/>
    <w:rsid w:val="00D03E43"/>
    <w:rsid w:val="00D21ACF"/>
    <w:rsid w:val="00D269F9"/>
    <w:rsid w:val="00D30B87"/>
    <w:rsid w:val="00D31FAD"/>
    <w:rsid w:val="00D53709"/>
    <w:rsid w:val="00D62B35"/>
    <w:rsid w:val="00D75306"/>
    <w:rsid w:val="00D87CB9"/>
    <w:rsid w:val="00D94833"/>
    <w:rsid w:val="00D94E17"/>
    <w:rsid w:val="00DA4142"/>
    <w:rsid w:val="00DB579B"/>
    <w:rsid w:val="00DD2873"/>
    <w:rsid w:val="00DE78C4"/>
    <w:rsid w:val="00DF0B46"/>
    <w:rsid w:val="00DF45C8"/>
    <w:rsid w:val="00E136C7"/>
    <w:rsid w:val="00E327BE"/>
    <w:rsid w:val="00E40D89"/>
    <w:rsid w:val="00E42310"/>
    <w:rsid w:val="00E52272"/>
    <w:rsid w:val="00E567BC"/>
    <w:rsid w:val="00E74380"/>
    <w:rsid w:val="00E775A7"/>
    <w:rsid w:val="00E924B4"/>
    <w:rsid w:val="00EC1201"/>
    <w:rsid w:val="00EC37D3"/>
    <w:rsid w:val="00EC5D90"/>
    <w:rsid w:val="00ED1BC9"/>
    <w:rsid w:val="00EE6821"/>
    <w:rsid w:val="00EE6B4F"/>
    <w:rsid w:val="00EE71EF"/>
    <w:rsid w:val="00F0742C"/>
    <w:rsid w:val="00F33E79"/>
    <w:rsid w:val="00F3606B"/>
    <w:rsid w:val="00F37D2C"/>
    <w:rsid w:val="00F54AE1"/>
    <w:rsid w:val="00F67FE7"/>
    <w:rsid w:val="00F7693A"/>
    <w:rsid w:val="00F778EF"/>
    <w:rsid w:val="00F839C2"/>
    <w:rsid w:val="00F912BD"/>
    <w:rsid w:val="00F919B2"/>
    <w:rsid w:val="00F9440C"/>
    <w:rsid w:val="00F9571E"/>
    <w:rsid w:val="00FA4601"/>
    <w:rsid w:val="00FC4746"/>
    <w:rsid w:val="00FF0480"/>
    <w:rsid w:val="00FF5B35"/>
    <w:rsid w:val="05973776"/>
    <w:rsid w:val="13090567"/>
    <w:rsid w:val="6AA733B3"/>
    <w:rsid w:val="7D2A4D33"/>
    <w:rsid w:val="7F40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ody Text"/>
    <w:basedOn w:val="1"/>
    <w:link w:val="7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customStyle="1" w:styleId="7">
    <w:name w:val="Основной текст Знак"/>
    <w:basedOn w:val="2"/>
    <w:link w:val="5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542</Words>
  <Characters>3096</Characters>
  <Lines>25</Lines>
  <Paragraphs>7</Paragraphs>
  <TotalTime>327</TotalTime>
  <ScaleCrop>false</ScaleCrop>
  <LinksUpToDate>false</LinksUpToDate>
  <CharactersWithSpaces>3631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2020-07-09T10:36:00Z</dcterms:created>
  <dc:creator>Петр Ершов</dc:creator>
  <cp:lastModifiedBy>polyd</cp:lastModifiedBy>
  <dcterms:modified xsi:type="dcterms:W3CDTF">2021-03-03T09:45:20Z</dcterms:modified>
  <cp:revision>223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