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0"/>
        <w:rPr>
          <w:i/>
        </w:rPr>
      </w:pPr>
      <w:bookmarkStart w:id="0" w:name="результаты-исследования"/>
      <w:r>
        <w:rPr>
          <w:i/>
        </w:rPr>
        <w:t>РЕЗУЛЬТАТЫ ИССЛЕДОВАНИЯ</w:t>
      </w:r>
      <w:bookmarkEnd w:id="0"/>
    </w:p>
    <w:p>
      <w:pPr>
        <w:pStyle w:val="2"/>
        <w:spacing w:line="240" w:lineRule="auto"/>
        <w:ind w:firstLine="0"/>
      </w:pPr>
      <w:r>
        <w:t>Размерно-частотные распределения лево- и правосторонних особей среди рыб одного пола в каждой из исследованных популяций оказались в целом сходны: диапазоны изменчивости близки и медианы не демонстрируют значимых различий (Рисунок 1). Более того, среди рыб одного пола кривые линейного роста лево- и правосторонних особей не различались (F=0.54 для самцов и F=1.29 для самок; р&gt;0.05). Эти данные были получены для наиболее многочисленной выборки камбалы из Онежского залива (n=4791 экз.).</w:t>
      </w:r>
    </w:p>
    <w:p>
      <w:pPr>
        <w:pStyle w:val="2"/>
        <w:spacing w:line="240" w:lineRule="auto"/>
        <w:ind w:firstLine="0"/>
      </w:pPr>
      <w:r>
        <w:t xml:space="preserve">Среди рыб обеих морф самцы и самки из Кандалакшского залива оказались крупнее, чем рыбы того же пола из Онежского и Мезенского заливов. </w:t>
      </w:r>
    </w:p>
    <w:p>
      <w:bookmarkStart w:id="1" w:name="_GoBack"/>
      <w:bookmarkEnd w:id="1"/>
    </w:p>
    <w:p>
      <w:pPr>
        <w:pStyle w:val="2"/>
        <w:spacing w:line="240" w:lineRule="auto"/>
        <w:ind w:firstLine="0"/>
      </w:pPr>
      <w:r>
        <w:rPr>
          <w:lang w:eastAsia="ru-RU"/>
        </w:rPr>
        <w:drawing>
          <wp:inline distT="0" distB="0" distL="0" distR="0">
            <wp:extent cx="5924550" cy="5534025"/>
            <wp:effectExtent l="0" t="0" r="0" b="9525"/>
            <wp:docPr id="2" name="Рисунок 2" descr="Рисунок 3. Характеристика размерного состава камбал в разных заливах Белого мор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Рисунок 3. Характеристика размерного состава камбал в разных заливах Белого моря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t>Рисунок 1. Характеристика размерного состава камбал в разных заливах Белого моря. Т</w:t>
      </w:r>
      <w:r>
        <w:rPr>
          <w:lang w:val="en-US"/>
        </w:rPr>
        <w:t xml:space="preserve">riangular notches in the box plots that do not overlap indicate significantly different medians. </w:t>
      </w:r>
    </w:p>
    <w:p>
      <w:pPr>
        <w:rPr>
          <w:lang w:val="en-US"/>
        </w:rPr>
      </w:pPr>
    </w:p>
    <w:p>
      <w:pPr>
        <w:pStyle w:val="2"/>
        <w:spacing w:line="240" w:lineRule="auto"/>
        <w:ind w:firstLine="0"/>
        <w:rPr>
          <w:lang w:val="en-US"/>
        </w:rPr>
      </w:pPr>
    </w:p>
    <w:p>
      <w:pPr>
        <w:pStyle w:val="2"/>
        <w:spacing w:line="240" w:lineRule="auto"/>
        <w:ind w:firstLine="0"/>
      </w:pPr>
      <w:r>
        <w:t>Для анализа связи частоты встречаемости левосторонних особей с размером и полом рыб в рассматриваемых выборках была построена логистическая регрессионная модель. В качестве предикторов в модели выступали переменные “</w:t>
      </w:r>
      <w:r>
        <w:rPr>
          <w:i/>
        </w:rPr>
        <w:t>Bay</w:t>
      </w:r>
      <w:r>
        <w:t>” (дискретный фактор с четырьмя градациями), “</w:t>
      </w:r>
      <w:r>
        <w:rPr>
          <w:i/>
        </w:rPr>
        <w:t>Sex</w:t>
      </w:r>
      <w:r>
        <w:t>” (дискретный фактор с двумя градациями), “</w:t>
      </w:r>
      <w:r>
        <w:rPr>
          <w:i/>
        </w:rPr>
        <w:t>Length</w:t>
      </w:r>
      <w:r>
        <w:t xml:space="preserve">” (непрерывная ковариата) и все возможные взаимодействия предикторов. Обратное пошаговое упрощение модели позволило удалить из нее все взаимодействия предикторов </w:t>
      </w:r>
      <w:r>
        <w:rPr>
          <w:highlight w:val="none"/>
        </w:rPr>
        <w:t xml:space="preserve">(финальной моделью считалась модель с минимальным значением </w:t>
      </w:r>
      <w:r>
        <w:rPr>
          <w:highlight w:val="none"/>
          <w:lang w:val="en-US"/>
        </w:rPr>
        <w:t>AIC</w:t>
      </w:r>
      <w:r>
        <w:rPr>
          <w:highlight w:val="none"/>
        </w:rPr>
        <w:t>).</w:t>
      </w:r>
      <w:r>
        <w:t xml:space="preserve"> Параметры полученной модели представлены в табл. 1. </w:t>
      </w:r>
    </w:p>
    <w:p>
      <w:pPr>
        <w:pStyle w:val="2"/>
        <w:spacing w:line="240" w:lineRule="auto"/>
        <w:ind w:firstLine="0"/>
      </w:pPr>
      <w:r>
        <w:t>Анализ девиансы финальной модели (табл. 2) показал, что значимое влияние на вероятность встречи реверсивных особей оказывают предикторы “</w:t>
      </w:r>
      <w:r>
        <w:rPr>
          <w:i/>
        </w:rPr>
        <w:t>Bay</w:t>
      </w:r>
      <w:r>
        <w:t>” и “</w:t>
      </w:r>
      <w:r>
        <w:rPr>
          <w:i/>
        </w:rPr>
        <w:t>Length</w:t>
      </w:r>
      <w:r>
        <w:t>” (</w:t>
      </w:r>
      <w:r>
        <w:rPr>
          <w:lang w:val="en-US"/>
        </w:rPr>
        <w:t>p</w:t>
      </w:r>
      <w:r>
        <w:t>&lt; 0.01). Значимое влияние предиктора “</w:t>
      </w:r>
      <w:r>
        <w:rPr>
          <w:i/>
        </w:rPr>
        <w:t>Sex</w:t>
      </w:r>
      <w:r>
        <w:t>” на частоту реверсивных особей выявляется только при объединении материала всех акваторий (</w:t>
      </w:r>
      <w:r>
        <w:rPr>
          <w:lang w:val="en-US"/>
        </w:rPr>
        <w:t>p</w:t>
      </w:r>
      <w:r>
        <w:t xml:space="preserve">=0.037). Однако при рассмотрении каждого залива в отдельности доверительные интервалы линий регрессий, подобранных для каждого пола, пересекаются, что не дает оснований для утверждения наличия достоверных различий между полами.  </w:t>
      </w:r>
    </w:p>
    <w:p>
      <w:pPr>
        <w:pStyle w:val="2"/>
        <w:spacing w:line="240" w:lineRule="auto"/>
        <w:ind w:firstLine="0"/>
      </w:pPr>
      <w:r>
        <w:t xml:space="preserve">Для визуализации полученной модели был построен Рисунок 2. Видно, что по мере увеличения размеров рыб частота встречаемости реверсивных рыб возрастает как у самцов, так и у самок. Данная закономерность наблюдалась во всех сравниваемых популяциях камбалы Белого моря. </w:t>
      </w:r>
    </w:p>
    <w:p>
      <w:pPr>
        <w:pStyle w:val="2"/>
        <w:spacing w:line="240" w:lineRule="auto"/>
        <w:ind w:firstLine="0"/>
      </w:pPr>
    </w:p>
    <w:p>
      <w:r>
        <w:rPr>
          <w:b/>
        </w:rPr>
        <w:t>Таблица 1.</w:t>
      </w:r>
      <w:r>
        <w:t xml:space="preserve"> Параметры финальной модели, описывающей связь вероятности встречи реверсивных камбал с размером, полом и местом вылова</w:t>
      </w:r>
    </w:p>
    <w:p/>
    <w:tbl>
      <w:tblPr>
        <w:tblStyle w:val="6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016"/>
        <w:gridCol w:w="1023"/>
        <w:gridCol w:w="95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r>
              <w:t>Term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(Intercept)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-1.322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0.179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-7.402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lang w:val="en-US"/>
              </w:rPr>
            </w:pPr>
            <w:r>
              <w:t>L</w:t>
            </w:r>
            <w:r>
              <w:rPr>
                <w:lang w:val="en-US"/>
              </w:rPr>
              <w:t>ength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0.020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0.005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4.144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lang w:val="en-US"/>
              </w:rPr>
            </w:pPr>
            <w:r>
              <w:t>SexMale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0.123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0.059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2.081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BayOnega 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-0.147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0.129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-1.139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0.255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BayDvina 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-2.042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0.140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-14.591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BayMezen 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-2.461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0.171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-14.378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</w:tbl>
    <w:p>
      <w:pPr>
        <w:rPr>
          <w:b/>
        </w:rPr>
      </w:pPr>
    </w:p>
    <w:p>
      <w:r>
        <w:rPr>
          <w:b/>
        </w:rPr>
        <w:t xml:space="preserve">Таблица 2. </w:t>
      </w:r>
      <w:r>
        <w:t>Анализ девиансы финальной модели</w:t>
      </w:r>
    </w:p>
    <w:p/>
    <w:tbl>
      <w:tblPr>
        <w:tblStyle w:val="6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1116"/>
        <w:gridCol w:w="416"/>
        <w:gridCol w:w="9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r>
              <w:t>Term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lang w:val="en-US"/>
              </w:rPr>
            </w:pPr>
            <w:r>
              <w:t>L</w:t>
            </w:r>
            <w:r>
              <w:rPr>
                <w:lang w:val="en-US"/>
              </w:rPr>
              <w:t>ength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17.041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Sex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4.325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t>Bay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1227.736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3</w:t>
            </w:r>
          </w:p>
        </w:tc>
        <w:tc>
          <w:tcPr>
            <w:tcW w:w="0" w:type="auto"/>
          </w:tcPr>
          <w:p>
            <w:pPr>
              <w:jc w:val="right"/>
            </w:pPr>
            <w:r>
              <w:t>0.000</w:t>
            </w:r>
          </w:p>
        </w:tc>
      </w:tr>
    </w:tbl>
    <w:p>
      <w:pPr>
        <w:ind w:left="720"/>
      </w:pPr>
    </w:p>
    <w:p>
      <w:pPr>
        <w:ind w:left="720"/>
      </w:pPr>
      <w:r>
        <w:drawing>
          <wp:inline distT="0" distB="0" distL="0" distR="0">
            <wp:extent cx="5962650" cy="5534025"/>
            <wp:effectExtent l="0" t="0" r="0" b="9525"/>
            <wp:docPr id="1" name="Рисунок 1" descr="Рисунок 5. Зависимость вероятности встретить левостороннюю камбалу от размера у рыб в разных заливах Белого моря. Точками показаны частоты левосторонних особей в пределах раных размерных классов. Серая область вокруг линий регрессии отражает 95% доверительный интерв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исунок 5. Зависимость вероятности встретить левостороннюю камбалу от размера у рыб в разных заливах Белого моря. Точками показаны частоты левосторонних особей в пределах раных размерных классов. Серая область вокруг линий регрессии отражает 95% доверительный интерва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r>
        <w:rPr>
          <w:b/>
        </w:rPr>
        <w:t>Рисунок 2.</w:t>
      </w:r>
      <w:r>
        <w:t xml:space="preserve"> Зависимость вероятности встретить левостороннюю камбалу от размера выловленных рыб в разных заливах Белого моря. Точками показаны частоты левосторонних особей в пределах разных размерных классов. Заштрихованная область вокруг линий регрессии отражает 95% доверительный интервал</w:t>
      </w:r>
    </w:p>
    <w:p/>
    <w:p/>
    <w:p/>
    <w:p/>
    <w:p/>
    <w:p/>
    <w:p/>
    <w:p/>
    <w:p/>
    <w:p/>
    <w:p/>
    <w:p/>
    <w:p/>
    <w:p/>
    <w:p/>
    <w:p>
      <w:pPr>
        <w:spacing w:before="100" w:beforeAutospacing="1" w:after="100" w:afterAutospacing="1"/>
      </w:pPr>
      <w:r>
        <w:t xml:space="preserve">Логистическая регрессионная модель, отражающая связь частоты встречаемости реверсивных особей с возрастом и полом рыб, была построена только для популяции камбалы из Онежского залива, выборка из которого была наибольшей в исследованном материале.  Предикторами в данной модели являлись </w:t>
      </w:r>
      <w:r>
        <w:rPr>
          <w:rFonts w:hint="default"/>
          <w:lang w:val="ru-RU"/>
        </w:rPr>
        <w:t>Возраст (</w:t>
      </w:r>
      <w:r>
        <w:rPr>
          <w:rFonts w:hint="default"/>
          <w:lang w:val="en-US"/>
        </w:rPr>
        <w:t xml:space="preserve">Age) </w:t>
      </w:r>
      <w:r>
        <w:rPr>
          <w:rFonts w:hint="default"/>
          <w:lang w:val="ru-RU"/>
        </w:rPr>
        <w:t>пол (</w:t>
      </w:r>
      <w:r>
        <w:rPr>
          <w:rFonts w:hint="default"/>
          <w:lang w:val="en-US"/>
        </w:rPr>
        <w:t xml:space="preserve">Sex) </w:t>
      </w:r>
      <w:r>
        <w:rPr>
          <w:rFonts w:hint="default"/>
          <w:lang w:val="ru-RU"/>
        </w:rPr>
        <w:t>и их взаимодействия</w:t>
      </w:r>
      <w:r>
        <w:rPr>
          <w:rFonts w:hint="default"/>
          <w:lang w:val="en-US"/>
        </w:rPr>
        <w:t xml:space="preserve">. </w:t>
      </w:r>
      <w:r>
        <w:t>Параметры полученной модели и анализ девиансы приведены в таблицах 3, 4. Значимого взаимодействия предикторов не выявлено. Не было выявлено и значимого влияния пола. Вместе с тем, зависимость вероятности встретить реверсивную особь от возраста рыб в исследованном диапазоне возрастных групп была статистически достоверной (Таблица 3): чем старше рыба, тем выше доля левосторонних особей среди рыб-ровесников (Рисунок 3).</w:t>
      </w:r>
    </w:p>
    <w:p>
      <w:r>
        <w:rPr>
          <w:b/>
        </w:rPr>
        <w:t>Таблица 3.</w:t>
      </w:r>
      <w:r>
        <w:t xml:space="preserve"> Параметры модели.</w:t>
      </w:r>
    </w:p>
    <w:p>
      <w:pPr>
        <w:rPr>
          <w:b/>
        </w:rPr>
      </w:pPr>
    </w:p>
    <w:p>
      <w:r>
        <w:rPr>
          <w:b/>
        </w:rPr>
        <w:t xml:space="preserve">Таблица 4. </w:t>
      </w:r>
      <w:r>
        <w:t>Анализ девиансы модели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F9"/>
    <w:rsid w:val="00011B8B"/>
    <w:rsid w:val="00015AA2"/>
    <w:rsid w:val="000240AD"/>
    <w:rsid w:val="000361CE"/>
    <w:rsid w:val="00061EF6"/>
    <w:rsid w:val="0006594F"/>
    <w:rsid w:val="000919E1"/>
    <w:rsid w:val="0009527E"/>
    <w:rsid w:val="000A1CD8"/>
    <w:rsid w:val="000C6322"/>
    <w:rsid w:val="000C649C"/>
    <w:rsid w:val="000E0EDF"/>
    <w:rsid w:val="000E563A"/>
    <w:rsid w:val="000E58D3"/>
    <w:rsid w:val="00114CDE"/>
    <w:rsid w:val="001166CB"/>
    <w:rsid w:val="00133423"/>
    <w:rsid w:val="00160325"/>
    <w:rsid w:val="00160384"/>
    <w:rsid w:val="00170C98"/>
    <w:rsid w:val="00185D6F"/>
    <w:rsid w:val="001A3C04"/>
    <w:rsid w:val="001A46E8"/>
    <w:rsid w:val="001B27F9"/>
    <w:rsid w:val="001D0AA7"/>
    <w:rsid w:val="001E130F"/>
    <w:rsid w:val="001E5646"/>
    <w:rsid w:val="00202430"/>
    <w:rsid w:val="00214AA2"/>
    <w:rsid w:val="00241EA6"/>
    <w:rsid w:val="002468CA"/>
    <w:rsid w:val="002549EA"/>
    <w:rsid w:val="00274EE2"/>
    <w:rsid w:val="00282F40"/>
    <w:rsid w:val="002A3BF1"/>
    <w:rsid w:val="002B5AB4"/>
    <w:rsid w:val="002C5DE3"/>
    <w:rsid w:val="002F4132"/>
    <w:rsid w:val="002F4ABF"/>
    <w:rsid w:val="0030131C"/>
    <w:rsid w:val="003033D6"/>
    <w:rsid w:val="00323007"/>
    <w:rsid w:val="003306C6"/>
    <w:rsid w:val="00335615"/>
    <w:rsid w:val="00340AFB"/>
    <w:rsid w:val="003432BB"/>
    <w:rsid w:val="00373FB8"/>
    <w:rsid w:val="0038179C"/>
    <w:rsid w:val="00383335"/>
    <w:rsid w:val="00385DBB"/>
    <w:rsid w:val="003927A8"/>
    <w:rsid w:val="003A4F21"/>
    <w:rsid w:val="003A5631"/>
    <w:rsid w:val="003B0AE7"/>
    <w:rsid w:val="003B0EE8"/>
    <w:rsid w:val="003B3566"/>
    <w:rsid w:val="003B387E"/>
    <w:rsid w:val="003B7AD0"/>
    <w:rsid w:val="003C1ABC"/>
    <w:rsid w:val="003C2545"/>
    <w:rsid w:val="003D1E40"/>
    <w:rsid w:val="003D3AC8"/>
    <w:rsid w:val="003D6BA3"/>
    <w:rsid w:val="003E4834"/>
    <w:rsid w:val="003F32EC"/>
    <w:rsid w:val="00404BDE"/>
    <w:rsid w:val="0040754D"/>
    <w:rsid w:val="00441199"/>
    <w:rsid w:val="00461167"/>
    <w:rsid w:val="00482CDD"/>
    <w:rsid w:val="004845EA"/>
    <w:rsid w:val="004861E3"/>
    <w:rsid w:val="004A6E30"/>
    <w:rsid w:val="004C31EF"/>
    <w:rsid w:val="004D43D5"/>
    <w:rsid w:val="004E5746"/>
    <w:rsid w:val="004F4DE5"/>
    <w:rsid w:val="0051798A"/>
    <w:rsid w:val="00525307"/>
    <w:rsid w:val="00526667"/>
    <w:rsid w:val="00562040"/>
    <w:rsid w:val="00571E60"/>
    <w:rsid w:val="0057659D"/>
    <w:rsid w:val="00597756"/>
    <w:rsid w:val="005B70A7"/>
    <w:rsid w:val="005B744D"/>
    <w:rsid w:val="005C2366"/>
    <w:rsid w:val="005C7469"/>
    <w:rsid w:val="005E1CF1"/>
    <w:rsid w:val="005E779F"/>
    <w:rsid w:val="005F03FF"/>
    <w:rsid w:val="005F41D8"/>
    <w:rsid w:val="006048BE"/>
    <w:rsid w:val="0063078B"/>
    <w:rsid w:val="00635B7E"/>
    <w:rsid w:val="00654FA4"/>
    <w:rsid w:val="00663F63"/>
    <w:rsid w:val="00664485"/>
    <w:rsid w:val="00664B45"/>
    <w:rsid w:val="006A2D7A"/>
    <w:rsid w:val="006A6964"/>
    <w:rsid w:val="006B1227"/>
    <w:rsid w:val="006C27A1"/>
    <w:rsid w:val="006C6239"/>
    <w:rsid w:val="006F2F18"/>
    <w:rsid w:val="00732863"/>
    <w:rsid w:val="00734842"/>
    <w:rsid w:val="00743C98"/>
    <w:rsid w:val="00744C49"/>
    <w:rsid w:val="00753759"/>
    <w:rsid w:val="00754EF1"/>
    <w:rsid w:val="00765EE6"/>
    <w:rsid w:val="0076705F"/>
    <w:rsid w:val="007675B9"/>
    <w:rsid w:val="007C1894"/>
    <w:rsid w:val="007D11E9"/>
    <w:rsid w:val="007D3068"/>
    <w:rsid w:val="007D35CC"/>
    <w:rsid w:val="007E53BE"/>
    <w:rsid w:val="007F45C6"/>
    <w:rsid w:val="00800CF5"/>
    <w:rsid w:val="0081034D"/>
    <w:rsid w:val="00816771"/>
    <w:rsid w:val="008200E9"/>
    <w:rsid w:val="0082510A"/>
    <w:rsid w:val="008312B1"/>
    <w:rsid w:val="008643D1"/>
    <w:rsid w:val="00880666"/>
    <w:rsid w:val="0088679D"/>
    <w:rsid w:val="0089627E"/>
    <w:rsid w:val="008A1D0D"/>
    <w:rsid w:val="008A3785"/>
    <w:rsid w:val="008C0E5D"/>
    <w:rsid w:val="008C49C8"/>
    <w:rsid w:val="008D09B2"/>
    <w:rsid w:val="008E4C98"/>
    <w:rsid w:val="008E6F72"/>
    <w:rsid w:val="008F7067"/>
    <w:rsid w:val="009274E7"/>
    <w:rsid w:val="00946CBD"/>
    <w:rsid w:val="00952C6C"/>
    <w:rsid w:val="00957072"/>
    <w:rsid w:val="00967045"/>
    <w:rsid w:val="009678AC"/>
    <w:rsid w:val="009841EC"/>
    <w:rsid w:val="009A2C90"/>
    <w:rsid w:val="009B6479"/>
    <w:rsid w:val="009C48A1"/>
    <w:rsid w:val="009D4573"/>
    <w:rsid w:val="00A27646"/>
    <w:rsid w:val="00A50A9E"/>
    <w:rsid w:val="00A56096"/>
    <w:rsid w:val="00A571D0"/>
    <w:rsid w:val="00A5765F"/>
    <w:rsid w:val="00A60F59"/>
    <w:rsid w:val="00A67DDA"/>
    <w:rsid w:val="00A70CB5"/>
    <w:rsid w:val="00A93A0E"/>
    <w:rsid w:val="00A94873"/>
    <w:rsid w:val="00AA43B6"/>
    <w:rsid w:val="00B04284"/>
    <w:rsid w:val="00B04741"/>
    <w:rsid w:val="00B121FA"/>
    <w:rsid w:val="00B21275"/>
    <w:rsid w:val="00B344F5"/>
    <w:rsid w:val="00B65A64"/>
    <w:rsid w:val="00B73906"/>
    <w:rsid w:val="00B920FF"/>
    <w:rsid w:val="00BB091E"/>
    <w:rsid w:val="00BC5061"/>
    <w:rsid w:val="00BD50FD"/>
    <w:rsid w:val="00BE4A09"/>
    <w:rsid w:val="00BF0FBF"/>
    <w:rsid w:val="00BF50CC"/>
    <w:rsid w:val="00C15B38"/>
    <w:rsid w:val="00C43072"/>
    <w:rsid w:val="00C47C51"/>
    <w:rsid w:val="00C53358"/>
    <w:rsid w:val="00C653AE"/>
    <w:rsid w:val="00C72881"/>
    <w:rsid w:val="00C80ED1"/>
    <w:rsid w:val="00C919F4"/>
    <w:rsid w:val="00CA0134"/>
    <w:rsid w:val="00CA17DE"/>
    <w:rsid w:val="00CC1FA9"/>
    <w:rsid w:val="00CE4528"/>
    <w:rsid w:val="00D03E43"/>
    <w:rsid w:val="00D21ACF"/>
    <w:rsid w:val="00D269F9"/>
    <w:rsid w:val="00D30B87"/>
    <w:rsid w:val="00D31FAD"/>
    <w:rsid w:val="00D53709"/>
    <w:rsid w:val="00D75306"/>
    <w:rsid w:val="00D94833"/>
    <w:rsid w:val="00D94E17"/>
    <w:rsid w:val="00DA4142"/>
    <w:rsid w:val="00DB579B"/>
    <w:rsid w:val="00DD2873"/>
    <w:rsid w:val="00DE78C4"/>
    <w:rsid w:val="00DF0B46"/>
    <w:rsid w:val="00DF45C8"/>
    <w:rsid w:val="00E136C7"/>
    <w:rsid w:val="00E327BE"/>
    <w:rsid w:val="00E40D89"/>
    <w:rsid w:val="00E42310"/>
    <w:rsid w:val="00E52272"/>
    <w:rsid w:val="00E567BC"/>
    <w:rsid w:val="00E74380"/>
    <w:rsid w:val="00E775A7"/>
    <w:rsid w:val="00EC1201"/>
    <w:rsid w:val="00EC37D3"/>
    <w:rsid w:val="00EC5D90"/>
    <w:rsid w:val="00ED1BC9"/>
    <w:rsid w:val="00EE6821"/>
    <w:rsid w:val="00EE6B4F"/>
    <w:rsid w:val="00F0742C"/>
    <w:rsid w:val="00F33E79"/>
    <w:rsid w:val="00F3606B"/>
    <w:rsid w:val="00F37D2C"/>
    <w:rsid w:val="00F54AE1"/>
    <w:rsid w:val="00F67FE7"/>
    <w:rsid w:val="00F7693A"/>
    <w:rsid w:val="00F912BD"/>
    <w:rsid w:val="00F919B2"/>
    <w:rsid w:val="00F9440C"/>
    <w:rsid w:val="00F9571E"/>
    <w:rsid w:val="00FA4601"/>
    <w:rsid w:val="00FC4746"/>
    <w:rsid w:val="00FF0480"/>
    <w:rsid w:val="00FF5B35"/>
    <w:rsid w:val="05973776"/>
    <w:rsid w:val="130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0"/>
    <w:pPr>
      <w:spacing w:after="120" w:line="480" w:lineRule="auto"/>
      <w:ind w:firstLine="567"/>
      <w:jc w:val="both"/>
    </w:pPr>
    <w:rPr>
      <w:lang w:eastAsia="en-US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Основной текст Знак"/>
    <w:basedOn w:val="4"/>
    <w:link w:val="2"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708</Words>
  <Characters>4040</Characters>
  <Lines>33</Lines>
  <Paragraphs>9</Paragraphs>
  <TotalTime>472</TotalTime>
  <ScaleCrop>false</ScaleCrop>
  <LinksUpToDate>false</LinksUpToDate>
  <CharactersWithSpaces>4739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2020-07-09T10:36:00Z</dcterms:created>
  <dc:creator>Петр Ершов</dc:creator>
  <cp:lastModifiedBy>polyd</cp:lastModifiedBy>
  <dcterms:modified xsi:type="dcterms:W3CDTF">2020-12-04T10:30:56Z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