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360" w:lineRule="auto"/>
        <w:jc w:val="right"/>
        <w:rPr>
          <w:b/>
          <w:lang w:val="en-GB"/>
        </w:rPr>
      </w:pPr>
      <w:r>
        <w:rPr>
          <w:b/>
          <w:lang w:val="en-GB"/>
        </w:rPr>
        <w:t>Frequencies of morphs in different age classes of flounder</w:t>
      </w:r>
    </w:p>
    <w:p>
      <w:pPr>
        <w:autoSpaceDE w:val="0"/>
        <w:autoSpaceDN w:val="0"/>
        <w:adjustRightInd w:val="0"/>
        <w:spacing w:line="360" w:lineRule="auto"/>
        <w:jc w:val="both"/>
        <w:rPr>
          <w:i/>
          <w:lang w:val="en-US"/>
        </w:rPr>
      </w:pPr>
    </w:p>
    <w:p>
      <w:pPr>
        <w:autoSpaceDE w:val="0"/>
        <w:autoSpaceDN w:val="0"/>
        <w:adjustRightInd w:val="0"/>
        <w:spacing w:line="360" w:lineRule="auto"/>
        <w:jc w:val="both"/>
        <w:rPr>
          <w:i/>
          <w:lang w:val="en-US"/>
        </w:rPr>
      </w:pPr>
      <w:r>
        <w:rPr>
          <w:i/>
          <w:lang w:val="en-US"/>
        </w:rPr>
        <w:t>UDC 597.587.9</w:t>
      </w:r>
    </w:p>
    <w:p>
      <w:pPr>
        <w:autoSpaceDE w:val="0"/>
        <w:autoSpaceDN w:val="0"/>
        <w:adjustRightInd w:val="0"/>
        <w:spacing w:line="360" w:lineRule="auto"/>
        <w:jc w:val="both"/>
        <w:rPr>
          <w:b/>
          <w:lang w:val="en-GB"/>
        </w:rPr>
      </w:pPr>
    </w:p>
    <w:p>
      <w:pPr>
        <w:autoSpaceDE w:val="0"/>
        <w:autoSpaceDN w:val="0"/>
        <w:adjustRightInd w:val="0"/>
        <w:spacing w:line="360" w:lineRule="auto"/>
        <w:jc w:val="both"/>
        <w:rPr>
          <w:b/>
          <w:lang w:val="en-US"/>
        </w:rPr>
      </w:pPr>
      <w:r>
        <w:rPr>
          <w:b/>
          <w:lang w:val="en-GB"/>
        </w:rPr>
        <w:t>Frequencies of lateral morphs in different age classes of the flounder Platichthys flesus (Linnaeus, 1758) from the White Sea</w:t>
      </w:r>
    </w:p>
    <w:p>
      <w:pPr>
        <w:autoSpaceDE w:val="0"/>
        <w:autoSpaceDN w:val="0"/>
        <w:adjustRightInd w:val="0"/>
        <w:spacing w:line="360" w:lineRule="auto"/>
        <w:jc w:val="both"/>
        <w:rPr>
          <w:b/>
          <w:lang w:val="en-US"/>
        </w:rPr>
      </w:pPr>
    </w:p>
    <w:p>
      <w:pPr>
        <w:spacing w:line="360" w:lineRule="auto"/>
        <w:rPr>
          <w:b/>
          <w:vertAlign w:val="superscript"/>
          <w:lang w:val="en-US"/>
        </w:rPr>
      </w:pPr>
      <w:r>
        <w:rPr>
          <w:b/>
          <w:lang w:val="en-US"/>
        </w:rPr>
        <w:t>P.N.Yershov</w:t>
      </w:r>
      <w:r>
        <w:rPr>
          <w:b/>
          <w:vertAlign w:val="superscript"/>
          <w:lang w:val="en-US"/>
        </w:rPr>
        <w:t>1</w:t>
      </w:r>
      <w:r>
        <w:rPr>
          <w:b/>
          <w:bCs/>
          <w:lang w:val="en-US"/>
        </w:rPr>
        <w:t xml:space="preserve">*, </w:t>
      </w:r>
      <w:r>
        <w:rPr>
          <w:b/>
          <w:lang w:val="en-US"/>
        </w:rPr>
        <w:t>G.V.Fuks</w:t>
      </w:r>
      <w:r>
        <w:rPr>
          <w:b/>
          <w:vertAlign w:val="superscript"/>
          <w:lang w:val="en-US"/>
        </w:rPr>
        <w:t>2</w:t>
      </w:r>
      <w:r>
        <w:rPr>
          <w:b/>
          <w:lang w:val="en-US"/>
        </w:rPr>
        <w:t xml:space="preserve"> and V.M.Khaitov</w:t>
      </w:r>
      <w:r>
        <w:rPr>
          <w:b/>
          <w:vertAlign w:val="superscript"/>
          <w:lang w:val="en-US"/>
        </w:rPr>
        <w:t>3,4</w:t>
      </w:r>
    </w:p>
    <w:p>
      <w:pPr>
        <w:spacing w:line="360" w:lineRule="auto"/>
        <w:rPr>
          <w:i/>
          <w:lang w:val="en-US"/>
        </w:rPr>
      </w:pPr>
    </w:p>
    <w:p>
      <w:pPr>
        <w:spacing w:line="360" w:lineRule="auto"/>
        <w:rPr>
          <w:rStyle w:val="6"/>
          <w:i/>
          <w:lang w:val="en-US"/>
        </w:rPr>
      </w:pPr>
      <w:r>
        <w:rPr>
          <w:vertAlign w:val="superscript"/>
          <w:lang w:val="en-US"/>
        </w:rPr>
        <w:t xml:space="preserve">1 </w:t>
      </w:r>
      <w:r>
        <w:rPr>
          <w:i/>
          <w:lang w:val="en-US"/>
        </w:rPr>
        <w:t xml:space="preserve">Zoological Institute of the Russian Academy of Sciences, Universitetskaya nab. 1, 199034 Saint Petersburg, Russia; e-mail: </w:t>
      </w:r>
      <w:r>
        <w:fldChar w:fldCharType="begin"/>
      </w:r>
      <w:r>
        <w:rPr>
          <w:lang w:val="en-US"/>
          <w:rPrChange w:id="0" w:author="Петр Ершов" w:date="2022-08-26T11:17:00Z">
            <w:rPr/>
          </w:rPrChange>
        </w:rPr>
        <w:instrText xml:space="preserve"> HYPERLINK "mailto:peter.yershov@zin.ru" </w:instrText>
      </w:r>
      <w:r>
        <w:fldChar w:fldCharType="separate"/>
      </w:r>
      <w:r>
        <w:rPr>
          <w:rStyle w:val="6"/>
          <w:i/>
          <w:lang w:val="en-US"/>
        </w:rPr>
        <w:t>peter.yershov@zin.ru</w:t>
      </w:r>
      <w:r>
        <w:rPr>
          <w:rStyle w:val="6"/>
          <w:i/>
          <w:lang w:val="en-US"/>
        </w:rPr>
        <w:fldChar w:fldCharType="end"/>
      </w:r>
      <w:r>
        <w:rPr>
          <w:i/>
          <w:lang w:val="en-US"/>
        </w:rPr>
        <w:t xml:space="preserve">; </w:t>
      </w:r>
      <w:r>
        <w:fldChar w:fldCharType="begin"/>
      </w:r>
      <w:r>
        <w:rPr>
          <w:lang w:val="en-US"/>
          <w:rPrChange w:id="1" w:author="Петр Ершов" w:date="2022-08-26T11:17:00Z">
            <w:rPr/>
          </w:rPrChange>
        </w:rPr>
        <w:instrText xml:space="preserve"> HYPERLINK "mailto:peteryershov@yandex.ru" </w:instrText>
      </w:r>
      <w:r>
        <w:fldChar w:fldCharType="separate"/>
      </w:r>
      <w:r>
        <w:rPr>
          <w:rStyle w:val="6"/>
          <w:i/>
          <w:lang w:val="en-US"/>
        </w:rPr>
        <w:t>peteryershov@yandex.ru</w:t>
      </w:r>
      <w:r>
        <w:rPr>
          <w:rStyle w:val="6"/>
          <w:i/>
          <w:lang w:val="en-US"/>
        </w:rPr>
        <w:fldChar w:fldCharType="end"/>
      </w:r>
    </w:p>
    <w:p>
      <w:pPr>
        <w:spacing w:line="360" w:lineRule="auto"/>
        <w:rPr>
          <w:lang w:val="en-US"/>
        </w:rPr>
      </w:pPr>
      <w:r>
        <w:rPr>
          <w:vertAlign w:val="superscript"/>
          <w:lang w:val="en-US"/>
        </w:rPr>
        <w:t>2</w:t>
      </w:r>
      <w:r>
        <w:rPr>
          <w:lang w:val="en-US"/>
        </w:rPr>
        <w:t xml:space="preserve"> </w:t>
      </w:r>
      <w:r>
        <w:rPr>
          <w:i/>
          <w:lang w:val="en-US"/>
        </w:rPr>
        <w:t xml:space="preserve">Polar branch of the VNIRO (“PINRO” named after N.M. Knipovich), Uritskogo st. 17, 163002 Arkhangelsk, Russia; e-mail: </w:t>
      </w:r>
      <w:r>
        <w:fldChar w:fldCharType="begin"/>
      </w:r>
      <w:r>
        <w:rPr>
          <w:lang w:val="en-US"/>
          <w:rPrChange w:id="2" w:author="Петр Ершов" w:date="2022-08-26T11:17:00Z">
            <w:rPr/>
          </w:rPrChange>
        </w:rPr>
        <w:instrText xml:space="preserve"> HYPERLINK "mailto:fuks@pinro.ru" </w:instrText>
      </w:r>
      <w:r>
        <w:fldChar w:fldCharType="separate"/>
      </w:r>
      <w:r>
        <w:rPr>
          <w:rStyle w:val="6"/>
          <w:i/>
          <w:lang w:val="en-US"/>
        </w:rPr>
        <w:t>fuks@pinro.ru</w:t>
      </w:r>
      <w:r>
        <w:rPr>
          <w:rStyle w:val="6"/>
          <w:i/>
          <w:lang w:val="en-US"/>
        </w:rPr>
        <w:fldChar w:fldCharType="end"/>
      </w:r>
    </w:p>
    <w:p>
      <w:pPr>
        <w:spacing w:line="360" w:lineRule="auto"/>
        <w:rPr>
          <w:rStyle w:val="33"/>
          <w:lang w:val="en-US"/>
        </w:rPr>
      </w:pPr>
      <w:r>
        <w:rPr>
          <w:vertAlign w:val="superscript"/>
          <w:lang w:val="en-US"/>
        </w:rPr>
        <w:t xml:space="preserve">3 </w:t>
      </w:r>
      <w:r>
        <w:rPr>
          <w:i/>
          <w:lang w:val="en-US"/>
        </w:rPr>
        <w:t xml:space="preserve">Department of Invertebrate Zoology, Saint-Petersburg State University, Universitetskaya nab. 7/9, 199034 Saint Petersburg, Russia; e-mail: </w:t>
      </w:r>
      <w:r>
        <w:fldChar w:fldCharType="begin"/>
      </w:r>
      <w:r>
        <w:rPr>
          <w:lang w:val="en-US"/>
          <w:rPrChange w:id="3" w:author="Петр Ершов" w:date="2022-08-26T11:17:00Z">
            <w:rPr/>
          </w:rPrChange>
        </w:rPr>
        <w:instrText xml:space="preserve"> HYPERLINK "mailto:polydora@rambler.ru" </w:instrText>
      </w:r>
      <w:r>
        <w:fldChar w:fldCharType="separate"/>
      </w:r>
      <w:r>
        <w:rPr>
          <w:rStyle w:val="6"/>
          <w:i/>
          <w:lang w:val="en-US"/>
        </w:rPr>
        <w:t>polydora@rambler.ru</w:t>
      </w:r>
      <w:r>
        <w:rPr>
          <w:rStyle w:val="6"/>
          <w:i/>
          <w:lang w:val="en-US"/>
        </w:rPr>
        <w:fldChar w:fldCharType="end"/>
      </w:r>
    </w:p>
    <w:p>
      <w:pPr>
        <w:shd w:val="clear" w:color="auto" w:fill="FFFFFF"/>
        <w:spacing w:line="360" w:lineRule="auto"/>
        <w:rPr>
          <w:i/>
          <w:lang w:val="en-US"/>
        </w:rPr>
      </w:pPr>
      <w:r>
        <w:rPr>
          <w:vertAlign w:val="superscript"/>
          <w:lang w:val="en-US"/>
        </w:rPr>
        <w:t>4</w:t>
      </w:r>
      <w:r>
        <w:rPr>
          <w:rFonts w:eastAsia="SimSun"/>
          <w:color w:val="262626"/>
          <w:shd w:val="clear" w:color="auto" w:fill="FFFFFF"/>
          <w:lang w:val="en-US" w:eastAsia="zh-CN"/>
        </w:rPr>
        <w:t xml:space="preserve"> </w:t>
      </w:r>
      <w:r>
        <w:rPr>
          <w:rFonts w:eastAsia="SimSun"/>
          <w:i/>
          <w:color w:val="262626"/>
          <w:shd w:val="clear" w:color="auto" w:fill="FFFFFF"/>
          <w:lang w:val="en-US" w:eastAsia="zh-CN"/>
        </w:rPr>
        <w:t xml:space="preserve">Kandalaksha State Nature Reserve, Lineynaya 35, Kandalaksha, 184042 Murmansk Region, Russia </w:t>
      </w:r>
    </w:p>
    <w:p>
      <w:pPr>
        <w:autoSpaceDE w:val="0"/>
        <w:autoSpaceDN w:val="0"/>
        <w:adjustRightInd w:val="0"/>
        <w:spacing w:line="276" w:lineRule="auto"/>
        <w:jc w:val="both"/>
        <w:rPr>
          <w:lang w:val="en-US"/>
        </w:rPr>
      </w:pPr>
    </w:p>
    <w:p>
      <w:pPr>
        <w:autoSpaceDE w:val="0"/>
        <w:autoSpaceDN w:val="0"/>
        <w:adjustRightInd w:val="0"/>
        <w:spacing w:line="276" w:lineRule="auto"/>
        <w:jc w:val="both"/>
        <w:rPr>
          <w:b/>
          <w:lang w:val="en-GB"/>
        </w:rPr>
      </w:pPr>
      <w:r>
        <w:rPr>
          <w:b/>
          <w:lang w:val="en-US"/>
        </w:rPr>
        <w:t>ABSTRACT</w:t>
      </w:r>
    </w:p>
    <w:p>
      <w:pPr>
        <w:autoSpaceDE w:val="0"/>
        <w:autoSpaceDN w:val="0"/>
        <w:adjustRightInd w:val="0"/>
        <w:spacing w:line="360" w:lineRule="auto"/>
        <w:jc w:val="both"/>
        <w:rPr>
          <w:sz w:val="32"/>
          <w:szCs w:val="32"/>
          <w:lang w:val="en-GB"/>
        </w:rPr>
      </w:pPr>
    </w:p>
    <w:p>
      <w:pPr>
        <w:autoSpaceDE w:val="0"/>
        <w:autoSpaceDN w:val="0"/>
        <w:adjustRightInd w:val="0"/>
        <w:spacing w:line="360" w:lineRule="auto"/>
        <w:jc w:val="both"/>
        <w:rPr>
          <w:lang w:val="en-US"/>
        </w:rPr>
      </w:pPr>
      <w:r>
        <w:rPr>
          <w:lang w:val="en-GB"/>
        </w:rPr>
        <w:t xml:space="preserve">In the populations of the European flounder, the proportions of left- and right-sided individuals vary widely and possible causes of this variation remain little explored. The hypothesis of ecological segregation of phenotypical morphs in the European flounder relies primarily on observations of certain differences in morphology and foraging performance between the left- and right-sided individuals. </w:t>
      </w:r>
      <w:r>
        <w:rPr>
          <w:lang w:val="en-US"/>
        </w:rPr>
        <w:t>The flounders of different sex and size/age, however, can differ in the character of biotic associations with the environment and other hydrobionts.</w:t>
      </w:r>
      <w:r>
        <w:rPr>
          <w:lang w:val="en-GB"/>
        </w:rPr>
        <w:t xml:space="preserve"> We have examined the interaction of size/age and sex of the fish with the probability of encountering left-sided individuals in 4 populations of the European flounder from the White Sea basin. The results of the study have shown that the proportion of the reversed individuals</w:t>
      </w:r>
      <w:r>
        <w:rPr>
          <w:lang w:val="en-US"/>
        </w:rPr>
        <w:t xml:space="preserve"> did not differ among the flounders of various size and age </w:t>
      </w:r>
      <w:r>
        <w:rPr>
          <w:lang w:val="en-GB"/>
        </w:rPr>
        <w:t xml:space="preserve">in all the populations studied. The proportion of the left- and right-sided morphs in different size-age classes in all investigated populations did not depend on the sex of the fish. Revealed interpopulation diversity of phenotypic composition of flounder from the </w:t>
      </w:r>
      <w:r>
        <w:rPr>
          <w:lang w:val="en-US"/>
        </w:rPr>
        <w:t xml:space="preserve">White Sea is not connected with the size/age and sex structure of compared samples. </w:t>
      </w:r>
      <w:del w:id="4" w:author="google1599737165" w:date="2022-09-01T18:34:20Z">
        <w:bookmarkStart w:id="3" w:name="_GoBack"/>
        <w:bookmarkEnd w:id="3"/>
        <w:r>
          <w:rPr>
            <w:lang w:val="en-US"/>
          </w:rPr>
          <w:delText xml:space="preserve">It is determined by the influence of local selective factors on the ratio of two morphs in the flounder populations. </w:delText>
        </w:r>
      </w:del>
    </w:p>
    <w:p>
      <w:pPr>
        <w:spacing w:line="360" w:lineRule="auto"/>
        <w:rPr>
          <w:b/>
          <w:lang w:val="en-US"/>
        </w:rPr>
      </w:pPr>
    </w:p>
    <w:p>
      <w:pPr>
        <w:spacing w:line="360" w:lineRule="auto"/>
        <w:rPr>
          <w:lang w:val="en-US"/>
        </w:rPr>
      </w:pPr>
      <w:r>
        <w:rPr>
          <w:b/>
          <w:lang w:val="en-US"/>
        </w:rPr>
        <w:t xml:space="preserve">Key words: </w:t>
      </w:r>
      <w:r>
        <w:rPr>
          <w:i/>
          <w:iCs/>
          <w:lang w:val="en-US"/>
        </w:rPr>
        <w:t>Platichthys flesus</w:t>
      </w:r>
      <w:r>
        <w:rPr>
          <w:iCs/>
          <w:lang w:val="en-US"/>
        </w:rPr>
        <w:t>, morph frequencies variation, po</w:t>
      </w:r>
      <w:r>
        <w:rPr>
          <w:lang w:val="en-US"/>
        </w:rPr>
        <w:t>pulation polymorphism, White Sea</w:t>
      </w:r>
    </w:p>
    <w:p>
      <w:pPr>
        <w:spacing w:line="360" w:lineRule="auto"/>
        <w:rPr>
          <w:rFonts w:eastAsiaTheme="minorHAnsi"/>
          <w:b/>
          <w:lang w:val="en-US" w:eastAsia="en-US"/>
        </w:rPr>
      </w:pPr>
    </w:p>
    <w:p>
      <w:pPr>
        <w:spacing w:line="360" w:lineRule="auto"/>
        <w:rPr>
          <w:b/>
          <w:lang w:val="en-US"/>
        </w:rPr>
      </w:pPr>
      <w:r>
        <w:rPr>
          <w:rFonts w:eastAsiaTheme="minorHAnsi"/>
          <w:i/>
          <w:lang w:val="en-US" w:eastAsia="en-US"/>
        </w:rPr>
        <w:t xml:space="preserve">Submitted     ; revised      ; accepted    </w:t>
      </w:r>
    </w:p>
    <w:p>
      <w:pPr>
        <w:spacing w:line="360" w:lineRule="auto"/>
        <w:rPr>
          <w:lang w:val="en-US"/>
        </w:rPr>
      </w:pPr>
      <w:r>
        <w:rPr>
          <w:b/>
          <w:lang w:val="en-US"/>
        </w:rPr>
        <w:t xml:space="preserve"> </w:t>
      </w:r>
      <w:r>
        <w:rPr>
          <w:lang w:val="en-US"/>
        </w:rPr>
        <w:t xml:space="preserve">* Corresponding author / </w:t>
      </w:r>
      <w:r>
        <w:t>Автор</w:t>
      </w:r>
      <w:r>
        <w:rPr>
          <w:lang w:val="en-US"/>
        </w:rPr>
        <w:t>-</w:t>
      </w:r>
      <w:r>
        <w:t>корреспондент</w:t>
      </w:r>
    </w:p>
    <w:p>
      <w:pPr>
        <w:spacing w:line="360" w:lineRule="auto"/>
        <w:rPr>
          <w:b/>
          <w:lang w:val="en-US"/>
        </w:rPr>
      </w:pPr>
    </w:p>
    <w:p>
      <w:pPr>
        <w:autoSpaceDE w:val="0"/>
        <w:autoSpaceDN w:val="0"/>
        <w:adjustRightInd w:val="0"/>
        <w:spacing w:line="360" w:lineRule="auto"/>
        <w:jc w:val="both"/>
        <w:rPr>
          <w:b/>
        </w:rPr>
      </w:pPr>
      <w:r>
        <w:rPr>
          <w:b/>
        </w:rPr>
        <w:t xml:space="preserve">Частоты лево- и правосторонней морф у речной камбалы </w:t>
      </w:r>
      <w:r>
        <w:rPr>
          <w:b/>
          <w:lang w:val="en-GB"/>
        </w:rPr>
        <w:t>Platichthys</w:t>
      </w:r>
      <w:r>
        <w:rPr>
          <w:b/>
        </w:rPr>
        <w:t xml:space="preserve"> </w:t>
      </w:r>
      <w:r>
        <w:rPr>
          <w:b/>
          <w:lang w:val="en-GB"/>
        </w:rPr>
        <w:t>flesus</w:t>
      </w:r>
      <w:r>
        <w:rPr>
          <w:b/>
        </w:rPr>
        <w:t xml:space="preserve"> (</w:t>
      </w:r>
      <w:r>
        <w:rPr>
          <w:b/>
          <w:lang w:val="en-GB"/>
        </w:rPr>
        <w:t>Linnaeus</w:t>
      </w:r>
      <w:r>
        <w:rPr>
          <w:b/>
        </w:rPr>
        <w:t>, 1758) разного возраста из Белого моря</w:t>
      </w:r>
    </w:p>
    <w:p>
      <w:pPr>
        <w:spacing w:line="360" w:lineRule="auto"/>
        <w:rPr>
          <w:rFonts w:eastAsiaTheme="minorHAnsi"/>
          <w:b/>
          <w:lang w:eastAsia="en-US"/>
        </w:rPr>
      </w:pPr>
    </w:p>
    <w:p>
      <w:pPr>
        <w:spacing w:line="360" w:lineRule="auto"/>
        <w:rPr>
          <w:rFonts w:eastAsiaTheme="minorHAnsi"/>
          <w:b/>
          <w:vertAlign w:val="superscript"/>
          <w:lang w:eastAsia="en-US"/>
        </w:rPr>
      </w:pPr>
      <w:r>
        <w:rPr>
          <w:rFonts w:eastAsiaTheme="minorHAnsi"/>
          <w:b/>
          <w:lang w:eastAsia="en-US"/>
        </w:rPr>
        <w:t xml:space="preserve">П.Н.Ершов </w:t>
      </w:r>
      <w:r>
        <w:rPr>
          <w:rFonts w:eastAsiaTheme="minorHAnsi"/>
          <w:b/>
          <w:vertAlign w:val="superscript"/>
          <w:lang w:eastAsia="en-US"/>
        </w:rPr>
        <w:t>1</w:t>
      </w:r>
      <w:r>
        <w:rPr>
          <w:rFonts w:eastAsiaTheme="minorHAnsi"/>
          <w:b/>
          <w:bCs/>
          <w:lang w:eastAsia="en-US"/>
        </w:rPr>
        <w:t>*</w:t>
      </w:r>
      <w:r>
        <w:rPr>
          <w:rFonts w:eastAsiaTheme="minorHAnsi"/>
          <w:b/>
          <w:lang w:eastAsia="en-US"/>
        </w:rPr>
        <w:t>, Г.В.Фукс</w:t>
      </w:r>
      <w:r>
        <w:rPr>
          <w:rFonts w:eastAsiaTheme="minorHAnsi"/>
          <w:b/>
          <w:vertAlign w:val="superscript"/>
          <w:lang w:eastAsia="en-US"/>
        </w:rPr>
        <w:t xml:space="preserve"> 2</w:t>
      </w:r>
      <w:r>
        <w:rPr>
          <w:rFonts w:eastAsiaTheme="minorHAnsi"/>
          <w:b/>
          <w:bCs/>
          <w:lang w:eastAsia="en-US"/>
        </w:rPr>
        <w:t xml:space="preserve"> и</w:t>
      </w:r>
      <w:r>
        <w:rPr>
          <w:rFonts w:eastAsiaTheme="minorHAnsi"/>
          <w:b/>
          <w:lang w:eastAsia="en-US"/>
        </w:rPr>
        <w:t xml:space="preserve"> В.</w:t>
      </w:r>
      <w:r>
        <w:rPr>
          <w:rFonts w:eastAsiaTheme="minorHAnsi"/>
          <w:b/>
          <w:lang w:val="en-US" w:eastAsia="en-US"/>
        </w:rPr>
        <w:t>M</w:t>
      </w:r>
      <w:r>
        <w:rPr>
          <w:rFonts w:eastAsiaTheme="minorHAnsi"/>
          <w:b/>
          <w:lang w:eastAsia="en-US"/>
        </w:rPr>
        <w:t>.Хайтов</w:t>
      </w:r>
      <w:r>
        <w:rPr>
          <w:rFonts w:eastAsiaTheme="minorHAnsi"/>
          <w:b/>
          <w:vertAlign w:val="superscript"/>
          <w:lang w:eastAsia="en-US"/>
        </w:rPr>
        <w:t>3,4</w:t>
      </w:r>
    </w:p>
    <w:p>
      <w:pPr>
        <w:spacing w:line="360" w:lineRule="auto"/>
        <w:jc w:val="both"/>
        <w:rPr>
          <w:b/>
          <w:bCs/>
          <w:lang w:eastAsia="en-US"/>
        </w:rPr>
      </w:pPr>
    </w:p>
    <w:p>
      <w:pPr>
        <w:spacing w:after="160" w:line="360" w:lineRule="auto"/>
        <w:rPr>
          <w:rFonts w:eastAsiaTheme="minorHAnsi"/>
          <w:i/>
          <w:color w:val="0563C1"/>
          <w:u w:val="single"/>
          <w:lang w:eastAsia="en-US"/>
        </w:rPr>
      </w:pPr>
      <w:r>
        <w:rPr>
          <w:rFonts w:asciiTheme="minorHAnsi" w:hAnsiTheme="minorHAnsi" w:eastAsiaTheme="minorHAnsi" w:cstheme="minorBidi"/>
          <w:sz w:val="22"/>
          <w:szCs w:val="22"/>
          <w:vertAlign w:val="superscript"/>
          <w:lang w:eastAsia="en-US"/>
        </w:rPr>
        <w:t>1</w:t>
      </w:r>
      <w:r>
        <w:rPr>
          <w:rFonts w:asciiTheme="minorHAnsi" w:hAnsiTheme="minorHAnsi" w:eastAsiaTheme="minorHAnsi" w:cstheme="minorBidi"/>
          <w:sz w:val="22"/>
          <w:szCs w:val="22"/>
          <w:lang w:eastAsia="en-US"/>
        </w:rPr>
        <w:t xml:space="preserve"> </w:t>
      </w:r>
      <w:r>
        <w:rPr>
          <w:rFonts w:eastAsiaTheme="minorHAnsi"/>
          <w:i/>
          <w:lang w:eastAsia="en-US"/>
        </w:rPr>
        <w:t>Зоологический институт Российской академии наук, Университетская наб. 1, 199034 Санкт-Петербург, Россия;</w:t>
      </w:r>
      <w:r>
        <w:rPr>
          <w:rFonts w:asciiTheme="minorHAnsi" w:hAnsiTheme="minorHAnsi" w:eastAsiaTheme="minorHAnsi" w:cstheme="minorBidi"/>
          <w:sz w:val="25"/>
          <w:szCs w:val="25"/>
          <w:lang w:eastAsia="en-US"/>
        </w:rPr>
        <w:t xml:space="preserve"> </w:t>
      </w:r>
      <w:r>
        <w:rPr>
          <w:rFonts w:eastAsiaTheme="minorHAnsi"/>
          <w:i/>
          <w:lang w:val="en-US" w:eastAsia="en-US"/>
        </w:rPr>
        <w:t>e</w:t>
      </w:r>
      <w:r>
        <w:rPr>
          <w:rFonts w:eastAsiaTheme="minorHAnsi"/>
          <w:i/>
          <w:lang w:eastAsia="en-US"/>
        </w:rPr>
        <w:t>-</w:t>
      </w:r>
      <w:r>
        <w:rPr>
          <w:rFonts w:eastAsiaTheme="minorHAnsi"/>
          <w:i/>
          <w:lang w:val="en-US" w:eastAsia="en-US"/>
        </w:rPr>
        <w:t>mail</w:t>
      </w:r>
      <w:r>
        <w:rPr>
          <w:rFonts w:eastAsiaTheme="minorHAnsi"/>
          <w:i/>
          <w:lang w:eastAsia="en-US"/>
        </w:rPr>
        <w:t xml:space="preserve">: </w:t>
      </w:r>
      <w:r>
        <w:fldChar w:fldCharType="begin"/>
      </w:r>
      <w:r>
        <w:instrText xml:space="preserve"> HYPERLINK "mailto:peter.yershov@zin.ru" </w:instrText>
      </w:r>
      <w:r>
        <w:fldChar w:fldCharType="separate"/>
      </w:r>
      <w:r>
        <w:rPr>
          <w:rFonts w:eastAsiaTheme="minorHAnsi"/>
          <w:i/>
          <w:color w:val="0563C1"/>
          <w:u w:val="single"/>
          <w:lang w:val="en-US" w:eastAsia="en-US"/>
        </w:rPr>
        <w:t>peter</w:t>
      </w:r>
      <w:r>
        <w:rPr>
          <w:rFonts w:eastAsiaTheme="minorHAnsi"/>
          <w:i/>
          <w:color w:val="0563C1"/>
          <w:u w:val="single"/>
          <w:lang w:eastAsia="en-US"/>
        </w:rPr>
        <w:t>.</w:t>
      </w:r>
      <w:r>
        <w:rPr>
          <w:rFonts w:eastAsiaTheme="minorHAnsi"/>
          <w:i/>
          <w:color w:val="0563C1"/>
          <w:u w:val="single"/>
          <w:lang w:val="en-US" w:eastAsia="en-US"/>
        </w:rPr>
        <w:t>yershov</w:t>
      </w:r>
      <w:r>
        <w:rPr>
          <w:rFonts w:eastAsiaTheme="minorHAnsi"/>
          <w:i/>
          <w:color w:val="0563C1"/>
          <w:u w:val="single"/>
          <w:lang w:eastAsia="en-US"/>
        </w:rPr>
        <w:t>@</w:t>
      </w:r>
      <w:r>
        <w:rPr>
          <w:rFonts w:eastAsiaTheme="minorHAnsi"/>
          <w:i/>
          <w:color w:val="0563C1"/>
          <w:u w:val="single"/>
          <w:lang w:val="en-US" w:eastAsia="en-US"/>
        </w:rPr>
        <w:t>zin</w:t>
      </w:r>
      <w:r>
        <w:rPr>
          <w:rFonts w:eastAsiaTheme="minorHAnsi"/>
          <w:i/>
          <w:color w:val="0563C1"/>
          <w:u w:val="single"/>
          <w:lang w:eastAsia="en-US"/>
        </w:rPr>
        <w:t>.</w:t>
      </w:r>
      <w:r>
        <w:rPr>
          <w:rFonts w:eastAsiaTheme="minorHAnsi"/>
          <w:i/>
          <w:color w:val="0563C1"/>
          <w:u w:val="single"/>
          <w:lang w:val="en-US" w:eastAsia="en-US"/>
        </w:rPr>
        <w:t>ru</w:t>
      </w:r>
      <w:r>
        <w:rPr>
          <w:rFonts w:eastAsiaTheme="minorHAnsi"/>
          <w:i/>
          <w:color w:val="0563C1"/>
          <w:u w:val="single"/>
          <w:lang w:val="en-US" w:eastAsia="en-US"/>
        </w:rPr>
        <w:fldChar w:fldCharType="end"/>
      </w:r>
      <w:r>
        <w:rPr>
          <w:rFonts w:eastAsiaTheme="minorHAnsi"/>
          <w:i/>
          <w:lang w:eastAsia="en-US"/>
        </w:rPr>
        <w:t xml:space="preserve">; </w:t>
      </w:r>
      <w:r>
        <w:fldChar w:fldCharType="begin"/>
      </w:r>
      <w:r>
        <w:instrText xml:space="preserve"> HYPERLINK "mailto:peteryershov@yandex.ru" </w:instrText>
      </w:r>
      <w:r>
        <w:fldChar w:fldCharType="separate"/>
      </w:r>
      <w:r>
        <w:rPr>
          <w:rFonts w:eastAsiaTheme="minorHAnsi"/>
          <w:i/>
          <w:color w:val="0563C1"/>
          <w:u w:val="single"/>
          <w:lang w:val="en-US" w:eastAsia="en-US"/>
        </w:rPr>
        <w:t>peteryershov</w:t>
      </w:r>
      <w:r>
        <w:rPr>
          <w:rFonts w:eastAsiaTheme="minorHAnsi"/>
          <w:i/>
          <w:color w:val="0563C1"/>
          <w:u w:val="single"/>
          <w:lang w:eastAsia="en-US"/>
        </w:rPr>
        <w:t>@</w:t>
      </w:r>
      <w:r>
        <w:rPr>
          <w:rFonts w:eastAsiaTheme="minorHAnsi"/>
          <w:i/>
          <w:color w:val="0563C1"/>
          <w:u w:val="single"/>
          <w:lang w:val="en-US" w:eastAsia="en-US"/>
        </w:rPr>
        <w:t>yandex</w:t>
      </w:r>
      <w:r>
        <w:rPr>
          <w:rFonts w:eastAsiaTheme="minorHAnsi"/>
          <w:i/>
          <w:color w:val="0563C1"/>
          <w:u w:val="single"/>
          <w:lang w:eastAsia="en-US"/>
        </w:rPr>
        <w:t>.</w:t>
      </w:r>
      <w:r>
        <w:rPr>
          <w:rFonts w:eastAsiaTheme="minorHAnsi"/>
          <w:i/>
          <w:color w:val="0563C1"/>
          <w:u w:val="single"/>
          <w:lang w:val="en-US" w:eastAsia="en-US"/>
        </w:rPr>
        <w:t>ru</w:t>
      </w:r>
      <w:r>
        <w:rPr>
          <w:rFonts w:eastAsiaTheme="minorHAnsi"/>
          <w:i/>
          <w:color w:val="0563C1"/>
          <w:u w:val="single"/>
          <w:lang w:val="en-US" w:eastAsia="en-US"/>
        </w:rPr>
        <w:fldChar w:fldCharType="end"/>
      </w:r>
    </w:p>
    <w:p>
      <w:pPr>
        <w:spacing w:after="160" w:line="360" w:lineRule="auto"/>
        <w:rPr>
          <w:rFonts w:asciiTheme="minorHAnsi" w:hAnsiTheme="minorHAnsi" w:eastAsiaTheme="minorHAnsi" w:cstheme="minorBidi"/>
          <w:i/>
          <w:sz w:val="22"/>
          <w:szCs w:val="22"/>
          <w:lang w:eastAsia="en-US"/>
        </w:rPr>
      </w:pPr>
      <w:r>
        <w:rPr>
          <w:rFonts w:asciiTheme="minorHAnsi" w:hAnsiTheme="minorHAnsi" w:eastAsiaTheme="minorHAnsi" w:cstheme="minorBidi"/>
          <w:sz w:val="22"/>
          <w:szCs w:val="22"/>
          <w:vertAlign w:val="superscript"/>
          <w:lang w:eastAsia="en-US"/>
        </w:rPr>
        <w:t xml:space="preserve">2  </w:t>
      </w:r>
      <w:r>
        <w:rPr>
          <w:rFonts w:eastAsiaTheme="minorHAnsi"/>
          <w:i/>
          <w:lang w:eastAsia="en-US"/>
        </w:rPr>
        <w:t xml:space="preserve">Полярный филиал ФГБНУ «ВНИРО» («ПИНРО» им. Н.М. Книповича),.Урицкого ул. 17, 163002 Архангельск, Россия; </w:t>
      </w:r>
      <w:r>
        <w:rPr>
          <w:rFonts w:eastAsiaTheme="minorHAnsi"/>
          <w:i/>
          <w:lang w:val="en-US" w:eastAsia="en-US"/>
        </w:rPr>
        <w:t>e</w:t>
      </w:r>
      <w:r>
        <w:rPr>
          <w:rFonts w:eastAsiaTheme="minorHAnsi"/>
          <w:i/>
          <w:lang w:eastAsia="en-US"/>
        </w:rPr>
        <w:t>-</w:t>
      </w:r>
      <w:r>
        <w:rPr>
          <w:rFonts w:eastAsiaTheme="minorHAnsi"/>
          <w:i/>
          <w:lang w:val="en-US" w:eastAsia="en-US"/>
        </w:rPr>
        <w:t>mail</w:t>
      </w:r>
      <w:r>
        <w:rPr>
          <w:rFonts w:eastAsiaTheme="minorHAnsi"/>
          <w:i/>
          <w:lang w:eastAsia="en-US"/>
        </w:rPr>
        <w:t xml:space="preserve">: </w:t>
      </w:r>
      <w:r>
        <w:fldChar w:fldCharType="begin"/>
      </w:r>
      <w:r>
        <w:instrText xml:space="preserve"> HYPERLINK "mailto:fuks@pinro.ru" </w:instrText>
      </w:r>
      <w:r>
        <w:fldChar w:fldCharType="separate"/>
      </w:r>
      <w:r>
        <w:rPr>
          <w:rFonts w:asciiTheme="minorHAnsi" w:hAnsiTheme="minorHAnsi" w:eastAsiaTheme="minorHAnsi" w:cstheme="minorBidi"/>
          <w:i/>
          <w:color w:val="0563C1"/>
          <w:sz w:val="22"/>
          <w:szCs w:val="22"/>
          <w:u w:val="single"/>
          <w:lang w:val="en-US" w:eastAsia="en-US"/>
        </w:rPr>
        <w:t>fuks</w:t>
      </w:r>
      <w:r>
        <w:rPr>
          <w:rFonts w:asciiTheme="minorHAnsi" w:hAnsiTheme="minorHAnsi" w:eastAsiaTheme="minorHAnsi" w:cstheme="minorBidi"/>
          <w:i/>
          <w:color w:val="0563C1"/>
          <w:sz w:val="22"/>
          <w:szCs w:val="22"/>
          <w:u w:val="single"/>
          <w:lang w:eastAsia="en-US"/>
        </w:rPr>
        <w:t>@</w:t>
      </w:r>
      <w:r>
        <w:rPr>
          <w:rFonts w:asciiTheme="minorHAnsi" w:hAnsiTheme="minorHAnsi" w:eastAsiaTheme="minorHAnsi" w:cstheme="minorBidi"/>
          <w:i/>
          <w:color w:val="0563C1"/>
          <w:sz w:val="22"/>
          <w:szCs w:val="22"/>
          <w:u w:val="single"/>
          <w:lang w:val="en-US" w:eastAsia="en-US"/>
        </w:rPr>
        <w:t>pinro</w:t>
      </w:r>
      <w:r>
        <w:rPr>
          <w:rFonts w:asciiTheme="minorHAnsi" w:hAnsiTheme="minorHAnsi" w:eastAsiaTheme="minorHAnsi" w:cstheme="minorBidi"/>
          <w:i/>
          <w:color w:val="0563C1"/>
          <w:sz w:val="22"/>
          <w:szCs w:val="22"/>
          <w:u w:val="single"/>
          <w:lang w:eastAsia="en-US"/>
        </w:rPr>
        <w:t>.</w:t>
      </w:r>
      <w:r>
        <w:rPr>
          <w:rFonts w:asciiTheme="minorHAnsi" w:hAnsiTheme="minorHAnsi" w:eastAsiaTheme="minorHAnsi" w:cstheme="minorBidi"/>
          <w:i/>
          <w:color w:val="0563C1"/>
          <w:sz w:val="22"/>
          <w:szCs w:val="22"/>
          <w:u w:val="single"/>
          <w:lang w:val="en-US" w:eastAsia="en-US"/>
        </w:rPr>
        <w:t>ru</w:t>
      </w:r>
      <w:r>
        <w:rPr>
          <w:rFonts w:asciiTheme="minorHAnsi" w:hAnsiTheme="minorHAnsi" w:eastAsiaTheme="minorHAnsi" w:cstheme="minorBidi"/>
          <w:i/>
          <w:color w:val="0563C1"/>
          <w:sz w:val="22"/>
          <w:szCs w:val="22"/>
          <w:u w:val="single"/>
          <w:lang w:val="en-US" w:eastAsia="en-US"/>
        </w:rPr>
        <w:fldChar w:fldCharType="end"/>
      </w:r>
    </w:p>
    <w:p>
      <w:pPr>
        <w:spacing w:line="360" w:lineRule="auto"/>
        <w:rPr>
          <w:rFonts w:eastAsiaTheme="minorHAnsi"/>
          <w:lang w:eastAsia="en-US"/>
        </w:rPr>
      </w:pPr>
      <w:r>
        <w:rPr>
          <w:rFonts w:eastAsiaTheme="minorHAnsi"/>
          <w:vertAlign w:val="superscript"/>
          <w:lang w:eastAsia="en-US"/>
        </w:rPr>
        <w:t xml:space="preserve">3 </w:t>
      </w:r>
      <w:r>
        <w:rPr>
          <w:rFonts w:eastAsiaTheme="minorHAnsi"/>
          <w:i/>
          <w:lang w:eastAsia="en-US"/>
        </w:rPr>
        <w:t xml:space="preserve">Санкт-Петербургский государственный университет, кафедра зоологии беспозвоночных, Университетская наб. 7/9, 199034 Санкт-Петербург, Россия; </w:t>
      </w:r>
      <w:r>
        <w:rPr>
          <w:rFonts w:eastAsiaTheme="minorHAnsi"/>
          <w:i/>
          <w:lang w:val="en-US" w:eastAsia="en-US"/>
        </w:rPr>
        <w:t>e</w:t>
      </w:r>
      <w:r>
        <w:rPr>
          <w:rFonts w:eastAsiaTheme="minorHAnsi"/>
          <w:i/>
          <w:lang w:eastAsia="en-US"/>
        </w:rPr>
        <w:t>-</w:t>
      </w:r>
      <w:r>
        <w:rPr>
          <w:rFonts w:eastAsiaTheme="minorHAnsi"/>
          <w:i/>
          <w:lang w:val="en-US" w:eastAsia="en-US"/>
        </w:rPr>
        <w:t>mail</w:t>
      </w:r>
      <w:r>
        <w:rPr>
          <w:rFonts w:eastAsiaTheme="minorHAnsi"/>
          <w:i/>
          <w:lang w:eastAsia="en-US"/>
        </w:rPr>
        <w:t xml:space="preserve">: </w:t>
      </w:r>
      <w:r>
        <w:fldChar w:fldCharType="begin"/>
      </w:r>
      <w:r>
        <w:instrText xml:space="preserve"> HYPERLINK "mailto:polydora@rambler.ru" </w:instrText>
      </w:r>
      <w:r>
        <w:fldChar w:fldCharType="separate"/>
      </w:r>
      <w:r>
        <w:rPr>
          <w:rFonts w:eastAsiaTheme="minorHAnsi"/>
          <w:i/>
          <w:color w:val="0563C1"/>
          <w:u w:val="single"/>
          <w:lang w:val="en-US" w:eastAsia="en-US"/>
        </w:rPr>
        <w:t>polydora</w:t>
      </w:r>
      <w:r>
        <w:rPr>
          <w:rFonts w:eastAsiaTheme="minorHAnsi"/>
          <w:i/>
          <w:color w:val="0563C1"/>
          <w:u w:val="single"/>
          <w:lang w:eastAsia="en-US"/>
        </w:rPr>
        <w:t>@</w:t>
      </w:r>
      <w:r>
        <w:rPr>
          <w:rFonts w:eastAsiaTheme="minorHAnsi"/>
          <w:i/>
          <w:color w:val="0563C1"/>
          <w:u w:val="single"/>
          <w:lang w:val="en-US" w:eastAsia="en-US"/>
        </w:rPr>
        <w:t>rambler</w:t>
      </w:r>
      <w:r>
        <w:rPr>
          <w:rFonts w:eastAsiaTheme="minorHAnsi"/>
          <w:i/>
          <w:color w:val="0563C1"/>
          <w:u w:val="single"/>
          <w:lang w:eastAsia="en-US"/>
        </w:rPr>
        <w:t>.</w:t>
      </w:r>
      <w:r>
        <w:rPr>
          <w:rFonts w:eastAsiaTheme="minorHAnsi"/>
          <w:i/>
          <w:color w:val="0563C1"/>
          <w:u w:val="single"/>
          <w:lang w:val="en-US" w:eastAsia="en-US"/>
        </w:rPr>
        <w:t>ru</w:t>
      </w:r>
      <w:r>
        <w:rPr>
          <w:rFonts w:eastAsiaTheme="minorHAnsi"/>
          <w:i/>
          <w:color w:val="0563C1"/>
          <w:u w:val="single"/>
          <w:lang w:val="en-US" w:eastAsia="en-US"/>
        </w:rPr>
        <w:fldChar w:fldCharType="end"/>
      </w:r>
    </w:p>
    <w:p>
      <w:pPr>
        <w:shd w:val="clear" w:color="auto" w:fill="FFFFFF"/>
        <w:spacing w:line="360" w:lineRule="auto"/>
        <w:rPr>
          <w:rFonts w:eastAsiaTheme="minorHAnsi"/>
          <w:i/>
          <w:lang w:eastAsia="en-US"/>
        </w:rPr>
      </w:pPr>
      <w:r>
        <w:rPr>
          <w:rFonts w:eastAsiaTheme="minorHAnsi"/>
          <w:vertAlign w:val="superscript"/>
          <w:lang w:eastAsia="en-US"/>
        </w:rPr>
        <w:t>4</w:t>
      </w:r>
      <w:r>
        <w:rPr>
          <w:rFonts w:eastAsia="SimSun"/>
          <w:color w:val="262626"/>
          <w:shd w:val="clear" w:color="auto" w:fill="FFFFFF"/>
          <w:lang w:eastAsia="zh-CN"/>
        </w:rPr>
        <w:t xml:space="preserve"> </w:t>
      </w:r>
      <w:r>
        <w:rPr>
          <w:rFonts w:eastAsia="SimSun"/>
          <w:i/>
          <w:color w:val="262626"/>
          <w:shd w:val="clear" w:color="auto" w:fill="FFFFFF"/>
          <w:lang w:eastAsia="zh-CN"/>
        </w:rPr>
        <w:t xml:space="preserve">Кандалакшский государственный заповедник, Линейная ул. 35, Кандалакша, 184042 Мурманская область, </w:t>
      </w:r>
      <w:r>
        <w:rPr>
          <w:rFonts w:eastAsiaTheme="minorHAnsi"/>
          <w:i/>
          <w:lang w:eastAsia="en-US"/>
        </w:rPr>
        <w:t>Россия</w:t>
      </w:r>
      <w:r>
        <w:rPr>
          <w:rFonts w:eastAsia="SimSun"/>
          <w:i/>
          <w:color w:val="262626"/>
          <w:shd w:val="clear" w:color="auto" w:fill="FFFFFF"/>
          <w:lang w:eastAsia="zh-CN"/>
        </w:rPr>
        <w:t xml:space="preserve">  </w:t>
      </w:r>
    </w:p>
    <w:p>
      <w:pPr>
        <w:autoSpaceDE w:val="0"/>
        <w:autoSpaceDN w:val="0"/>
        <w:adjustRightInd w:val="0"/>
        <w:spacing w:line="360" w:lineRule="auto"/>
        <w:jc w:val="both"/>
        <w:rPr>
          <w:b/>
        </w:rPr>
      </w:pPr>
    </w:p>
    <w:p>
      <w:pPr>
        <w:autoSpaceDE w:val="0"/>
        <w:autoSpaceDN w:val="0"/>
        <w:adjustRightInd w:val="0"/>
        <w:spacing w:line="360" w:lineRule="auto"/>
        <w:jc w:val="both"/>
        <w:rPr>
          <w:b/>
        </w:rPr>
      </w:pPr>
      <w:r>
        <w:rPr>
          <w:b/>
        </w:rPr>
        <w:t>РЕЗЮМЕ</w:t>
      </w:r>
    </w:p>
    <w:p>
      <w:pPr>
        <w:autoSpaceDE w:val="0"/>
        <w:autoSpaceDN w:val="0"/>
        <w:adjustRightInd w:val="0"/>
        <w:spacing w:line="360" w:lineRule="auto"/>
        <w:jc w:val="both"/>
      </w:pPr>
      <w:r>
        <w:t>В популяциях речной камбалы пропорции лево- и правосторонних особей варьируют в широком диапазоне и причины этой изменчивости остаются малоизученными. Гипотеза об экологическом расхождении фенотипических морф базируется в основном на сведениях о некоторых различиях по морфологии и особенностям питания между лево- и правосторонними экземплярами речной камбалы. Однако характер биотических связей речной камбалы со средой обитания и другими гидробионтами может различаться у особей разного пола и длины/возраста. Мы провели исследование взаимосвязи длины/возраста и пола рыб с вероятностью встречаемости левосторонних особей в 4 популяциях речной камбалы бассейна Белого моря. Полученные результаты показали, что доля левосторонних рыб не различается среди камбал разного размера и возраста во всех исследованных популяциях. Соотношение лево- и правосторонних особей в разных размерно-возрастных группах не зависело от пола рыб. Выявленное межпопуляционное разнообразие по соотношению двух морф у речной камбалы из Белого моря обусловлено селективным влиянием различных локальных факторов и не связано с размерно-возрастным или половым составом сравниваемых выборок.</w:t>
      </w:r>
    </w:p>
    <w:p>
      <w:pPr>
        <w:autoSpaceDE w:val="0"/>
        <w:autoSpaceDN w:val="0"/>
        <w:adjustRightInd w:val="0"/>
        <w:spacing w:line="360" w:lineRule="auto"/>
        <w:jc w:val="both"/>
      </w:pPr>
    </w:p>
    <w:p>
      <w:pPr>
        <w:spacing w:line="360" w:lineRule="auto"/>
      </w:pPr>
      <w:r>
        <w:rPr>
          <w:b/>
          <w:lang w:val="en-US"/>
        </w:rPr>
        <w:t>K</w:t>
      </w:r>
      <w:r>
        <w:rPr>
          <w:b/>
        </w:rPr>
        <w:t xml:space="preserve">лючевые слова: </w:t>
      </w:r>
      <w:r>
        <w:rPr>
          <w:i/>
          <w:iCs/>
          <w:lang w:val="en-US"/>
        </w:rPr>
        <w:t>Platichthys</w:t>
      </w:r>
      <w:r>
        <w:rPr>
          <w:i/>
          <w:iCs/>
        </w:rPr>
        <w:t xml:space="preserve"> </w:t>
      </w:r>
      <w:r>
        <w:rPr>
          <w:i/>
          <w:iCs/>
          <w:lang w:val="en-US"/>
        </w:rPr>
        <w:t>flesus</w:t>
      </w:r>
      <w:r>
        <w:rPr>
          <w:iCs/>
        </w:rPr>
        <w:t>, изменчивость частот морф, популяционный полиморфизм</w:t>
      </w:r>
      <w:r>
        <w:t>, Белое море</w:t>
      </w:r>
    </w:p>
    <w:p>
      <w:pPr>
        <w:autoSpaceDE w:val="0"/>
        <w:autoSpaceDN w:val="0"/>
        <w:adjustRightInd w:val="0"/>
        <w:spacing w:line="360" w:lineRule="auto"/>
        <w:jc w:val="both"/>
        <w:rPr>
          <w:b/>
        </w:rPr>
      </w:pPr>
    </w:p>
    <w:p>
      <w:pPr>
        <w:autoSpaceDE w:val="0"/>
        <w:autoSpaceDN w:val="0"/>
        <w:adjustRightInd w:val="0"/>
        <w:spacing w:line="360" w:lineRule="auto"/>
        <w:jc w:val="both"/>
        <w:rPr>
          <w:b/>
          <w:lang w:val="en-GB"/>
        </w:rPr>
      </w:pPr>
      <w:r>
        <w:rPr>
          <w:b/>
          <w:lang w:val="en-US"/>
        </w:rPr>
        <w:t>INTRODUCTION</w:t>
      </w:r>
      <w:r>
        <w:rPr>
          <w:b/>
          <w:lang w:val="en-GB"/>
        </w:rPr>
        <w:t xml:space="preserve"> </w:t>
      </w:r>
    </w:p>
    <w:p>
      <w:pPr>
        <w:autoSpaceDE w:val="0"/>
        <w:autoSpaceDN w:val="0"/>
        <w:adjustRightInd w:val="0"/>
        <w:spacing w:line="360" w:lineRule="auto"/>
        <w:jc w:val="both"/>
        <w:rPr>
          <w:b/>
          <w:lang w:val="en-GB"/>
        </w:rPr>
      </w:pPr>
    </w:p>
    <w:p>
      <w:pPr>
        <w:autoSpaceDE w:val="0"/>
        <w:autoSpaceDN w:val="0"/>
        <w:adjustRightInd w:val="0"/>
        <w:spacing w:line="360" w:lineRule="auto"/>
        <w:jc w:val="both"/>
        <w:rPr>
          <w:lang w:val="en-GB"/>
        </w:rPr>
      </w:pPr>
      <w:r>
        <w:rPr>
          <w:lang w:val="en-GB"/>
        </w:rPr>
        <w:t xml:space="preserve">The European flounder </w:t>
      </w:r>
      <w:r>
        <w:rPr>
          <w:i/>
          <w:lang w:val="en-GB"/>
        </w:rPr>
        <w:t xml:space="preserve">Platichthys flesus </w:t>
      </w:r>
      <w:r>
        <w:rPr>
          <w:lang w:val="en-GB"/>
        </w:rPr>
        <w:t>is an unusual species, because, unlike most other representatives of the family Pleuronectidae, it shows lateral polymorphism at the population level. All populations of this species contain various proportions of individuals whose eyes lie either on the right (right-sided) or on the left side of the head (left-sided)</w:t>
      </w:r>
      <w:ins w:id="5" w:author="google1599737165" w:date="2022-09-01T17:54:42Z">
        <w:r>
          <w:rPr>
            <w:rFonts w:hint="default"/>
            <w:lang w:val="ru-RU"/>
          </w:rPr>
          <w:t>.</w:t>
        </w:r>
      </w:ins>
      <w:ins w:id="6" w:author="google1599737165" w:date="2022-09-01T17:54:48Z">
        <w:r>
          <w:rPr>
            <w:rFonts w:hint="default"/>
            <w:lang w:val="en-US"/>
          </w:rPr>
          <w:t>T</w:t>
        </w:r>
      </w:ins>
      <w:ins w:id="7" w:author="Петр Ершов" w:date="2022-09-01T17:21:00Z">
        <w:del w:id="8" w:author="google1599737165" w:date="2022-09-01T17:54:42Z">
          <w:r>
            <w:rPr>
              <w:lang w:val="en-GB"/>
            </w:rPr>
            <w:delText>,</w:delText>
          </w:r>
        </w:del>
      </w:ins>
      <w:ins w:id="9" w:author="Петр Ершов" w:date="2022-09-01T17:21:00Z">
        <w:del w:id="10" w:author="google1599737165" w:date="2022-09-01T17:54:53Z">
          <w:r>
            <w:rPr>
              <w:lang w:val="en-GB"/>
            </w:rPr>
            <w:delText xml:space="preserve"> </w:delText>
          </w:r>
        </w:del>
      </w:ins>
      <w:ins w:id="11" w:author="Петр Ершов" w:date="2022-09-01T17:21:00Z">
        <w:del w:id="12" w:author="google1599737165" w:date="2022-09-01T17:54:36Z">
          <w:r>
            <w:rPr/>
            <w:delText>причем</w:delText>
          </w:r>
        </w:del>
      </w:ins>
      <w:ins w:id="13" w:author="Петр Ершов" w:date="2022-09-01T14:54:00Z">
        <w:del w:id="14" w:author="google1599737165" w:date="2022-09-01T17:54:36Z">
          <w:r>
            <w:rPr>
              <w:lang w:val="en-US"/>
            </w:rPr>
            <w:delText xml:space="preserve"> </w:delText>
          </w:r>
        </w:del>
      </w:ins>
      <w:ins w:id="15" w:author="Петр Ершов" w:date="2022-09-01T15:00:00Z">
        <w:del w:id="16" w:author="google1599737165" w:date="2022-09-01T17:54:50Z">
          <w:r>
            <w:rPr>
              <w:lang w:val="en-US"/>
            </w:rPr>
            <w:delText>t</w:delText>
          </w:r>
        </w:del>
      </w:ins>
      <w:ins w:id="17" w:author="Петр Ершов" w:date="2022-09-01T15:00:00Z">
        <w:r>
          <w:rPr>
            <w:lang w:val="en-US"/>
          </w:rPr>
          <w:t xml:space="preserve">he frequency of </w:t>
        </w:r>
      </w:ins>
      <w:ins w:id="18" w:author="Петр Ершов" w:date="2022-09-01T14:46:00Z">
        <w:r>
          <w:rPr>
            <w:lang w:val="en-GB"/>
          </w:rPr>
          <w:t xml:space="preserve">left-sided </w:t>
        </w:r>
      </w:ins>
      <w:ins w:id="19" w:author="Петр Ершов" w:date="2022-09-01T17:03:00Z">
        <w:r>
          <w:rPr>
            <w:lang w:val="en-GB"/>
          </w:rPr>
          <w:t>fishes</w:t>
        </w:r>
      </w:ins>
      <w:ins w:id="20" w:author="Петр Ершов" w:date="2022-09-01T14:46:00Z">
        <w:r>
          <w:rPr>
            <w:lang w:val="en-GB"/>
          </w:rPr>
          <w:t xml:space="preserve"> </w:t>
        </w:r>
      </w:ins>
      <w:ins w:id="21" w:author="Петр Ершов" w:date="2022-09-01T15:00:00Z">
        <w:del w:id="22" w:author="google1599737165" w:date="2022-09-01T17:55:06Z">
          <w:r>
            <w:rPr>
              <w:lang w:val="en-GB"/>
            </w:rPr>
            <w:delText xml:space="preserve">in populations </w:delText>
          </w:r>
        </w:del>
      </w:ins>
      <w:ins w:id="23" w:author="Петр Ершов" w:date="2022-09-01T15:00:00Z">
        <w:r>
          <w:rPr>
            <w:lang w:val="en-GB"/>
          </w:rPr>
          <w:t xml:space="preserve">is lower </w:t>
        </w:r>
      </w:ins>
      <w:ins w:id="24" w:author="Петр Ершов" w:date="2022-09-01T15:01:00Z">
        <w:r>
          <w:rPr>
            <w:lang w:val="en-GB"/>
          </w:rPr>
          <w:t>th</w:t>
        </w:r>
      </w:ins>
      <w:ins w:id="25" w:author="Петр Ершов" w:date="2022-09-01T17:12:00Z">
        <w:r>
          <w:rPr>
            <w:lang w:val="en-GB"/>
          </w:rPr>
          <w:t>a</w:t>
        </w:r>
      </w:ins>
      <w:ins w:id="26" w:author="Петр Ершов" w:date="2022-09-01T15:01:00Z">
        <w:r>
          <w:rPr>
            <w:lang w:val="en-GB"/>
          </w:rPr>
          <w:t xml:space="preserve">n </w:t>
        </w:r>
      </w:ins>
      <w:ins w:id="27" w:author="Петр Ершов" w:date="2022-09-01T15:02:00Z">
        <w:r>
          <w:rPr>
            <w:lang w:val="en-GB"/>
          </w:rPr>
          <w:t xml:space="preserve">that of </w:t>
        </w:r>
      </w:ins>
      <w:ins w:id="28" w:author="Петр Ершов" w:date="2022-09-01T15:01:00Z">
        <w:r>
          <w:rPr>
            <w:lang w:val="en-GB"/>
          </w:rPr>
          <w:t xml:space="preserve">right-sided </w:t>
        </w:r>
      </w:ins>
      <w:ins w:id="29" w:author="Петр Ершов" w:date="2022-09-01T17:02:00Z">
        <w:r>
          <w:rPr>
            <w:lang w:val="en-GB"/>
          </w:rPr>
          <w:t>one</w:t>
        </w:r>
      </w:ins>
      <w:ins w:id="30" w:author="Петр Ершов" w:date="2022-09-01T17:03:00Z">
        <w:r>
          <w:rPr>
            <w:lang w:val="en-GB"/>
          </w:rPr>
          <w:t>s</w:t>
        </w:r>
      </w:ins>
      <w:ins w:id="31" w:author="google1599737165" w:date="2022-09-01T17:53:59Z">
        <w:r>
          <w:rPr>
            <w:rFonts w:hint="default"/>
            <w:lang w:val="ru-RU"/>
          </w:rPr>
          <w:t xml:space="preserve"> </w:t>
        </w:r>
      </w:ins>
      <w:ins w:id="32" w:author="google1599737165" w:date="2022-09-01T17:55:10Z">
        <w:r>
          <w:rPr>
            <w:lang w:val="en-GB"/>
          </w:rPr>
          <w:t xml:space="preserve">in </w:t>
        </w:r>
      </w:ins>
      <w:ins w:id="33" w:author="google1599737165" w:date="2022-09-01T17:55:12Z">
        <w:r>
          <w:rPr>
            <w:rFonts w:hint="default"/>
            <w:lang w:val="en-US"/>
          </w:rPr>
          <w:t>a</w:t>
        </w:r>
      </w:ins>
      <w:ins w:id="34" w:author="google1599737165" w:date="2022-09-01T17:55:13Z">
        <w:r>
          <w:rPr>
            <w:rFonts w:hint="default"/>
            <w:lang w:val="en-US"/>
          </w:rPr>
          <w:t xml:space="preserve">ll </w:t>
        </w:r>
      </w:ins>
      <w:ins w:id="35" w:author="google1599737165" w:date="2022-09-01T17:55:10Z">
        <w:r>
          <w:rPr>
            <w:lang w:val="en-GB"/>
          </w:rPr>
          <w:t xml:space="preserve">populations </w:t>
        </w:r>
      </w:ins>
      <w:ins w:id="36" w:author="google1599737165" w:date="2022-09-01T17:55:19Z">
        <w:r>
          <w:rPr>
            <w:rFonts w:hint="default"/>
            <w:lang w:val="en-US"/>
          </w:rPr>
          <w:t>s</w:t>
        </w:r>
      </w:ins>
      <w:ins w:id="37" w:author="google1599737165" w:date="2022-09-01T17:55:20Z">
        <w:r>
          <w:rPr>
            <w:rFonts w:hint="default"/>
            <w:lang w:val="en-US"/>
          </w:rPr>
          <w:t>tudi</w:t>
        </w:r>
      </w:ins>
      <w:ins w:id="38" w:author="google1599737165" w:date="2022-09-01T17:55:21Z">
        <w:r>
          <w:rPr>
            <w:rFonts w:hint="default"/>
            <w:lang w:val="en-US"/>
          </w:rPr>
          <w:t>ed</w:t>
        </w:r>
      </w:ins>
      <w:ins w:id="39" w:author="google1599737165" w:date="2022-09-01T17:55:22Z">
        <w:r>
          <w:rPr>
            <w:rFonts w:hint="default"/>
            <w:lang w:val="en-US"/>
          </w:rPr>
          <w:t xml:space="preserve"> </w:t>
        </w:r>
      </w:ins>
      <w:ins w:id="40" w:author="google1599737165" w:date="2022-09-01T17:54:00Z">
        <w:r>
          <w:rPr>
            <w:rFonts w:hint="default"/>
            <w:lang w:val="ru-RU"/>
          </w:rPr>
          <w:t>(</w:t>
        </w:r>
      </w:ins>
      <w:ins w:id="41" w:author="google1599737165" w:date="2022-09-01T17:54:02Z">
        <w:r>
          <w:rPr>
            <w:rFonts w:hint="default"/>
            <w:lang w:val="ru-RU"/>
          </w:rPr>
          <w:t>+++</w:t>
        </w:r>
      </w:ins>
      <w:ins w:id="42" w:author="google1599737165" w:date="2022-09-01T17:54:03Z">
        <w:r>
          <w:rPr>
            <w:rFonts w:hint="default"/>
            <w:lang w:val="ru-RU"/>
          </w:rPr>
          <w:t>)</w:t>
        </w:r>
      </w:ins>
      <w:ins w:id="43" w:author="Петр Ершов" w:date="2022-09-01T14:55:00Z">
        <w:r>
          <w:rPr>
            <w:lang w:val="en-GB"/>
          </w:rPr>
          <w:t>.</w:t>
        </w:r>
      </w:ins>
      <w:ins w:id="44" w:author="Петр Ершов" w:date="2022-09-01T14:46:00Z">
        <w:r>
          <w:rPr>
            <w:lang w:val="en-GB"/>
          </w:rPr>
          <w:t xml:space="preserve"> </w:t>
        </w:r>
      </w:ins>
      <w:r>
        <w:rPr>
          <w:lang w:val="en-GB"/>
        </w:rPr>
        <w:t xml:space="preserve">Changes in morph frequencies in populations are thought to be associated with interspecific and intrapopulation competition for food between left- and right-sided individuals in their shared nursery areas (Fornbacke et al. 2002; Russo et al. 2012). The majority of published information on morph proportions in the populations of </w:t>
      </w:r>
      <w:r>
        <w:rPr>
          <w:i/>
          <w:lang w:val="en-GB"/>
        </w:rPr>
        <w:t>P. flesus</w:t>
      </w:r>
      <w:r>
        <w:rPr>
          <w:lang w:val="en-GB"/>
        </w:rPr>
        <w:t xml:space="preserve"> have been obtained from the basins of the Baltic and North Seas. Published </w:t>
      </w:r>
      <w:r>
        <w:rPr>
          <w:lang w:val="en-US"/>
        </w:rPr>
        <w:t xml:space="preserve">data </w:t>
      </w:r>
      <w:r>
        <w:rPr>
          <w:lang w:val="en-GB"/>
        </w:rPr>
        <w:t xml:space="preserve"> indicate that unlike starry flounder, </w:t>
      </w:r>
      <w:r>
        <w:rPr>
          <w:i/>
          <w:lang w:val="en-GB"/>
        </w:rPr>
        <w:t xml:space="preserve">P.stellatus </w:t>
      </w:r>
      <w:r>
        <w:rPr>
          <w:lang w:val="en-US"/>
        </w:rPr>
        <w:t>(Pallas 1787)</w:t>
      </w:r>
      <w:r>
        <w:rPr>
          <w:lang w:val="en-GB"/>
        </w:rPr>
        <w:t xml:space="preserve">, another polymorphic species closely related to the European flounder, which is distributed in the northern part of the Pacific Ocean, the European flounder does not exhibit any </w:t>
      </w:r>
      <w:r>
        <w:rPr>
          <w:lang w:val="en-US"/>
        </w:rPr>
        <w:t>apparent</w:t>
      </w:r>
      <w:r>
        <w:rPr>
          <w:lang w:val="en-GB"/>
        </w:rPr>
        <w:t xml:space="preserve"> geographic cline in morph frequencies across its distribution range (Yershov, Fuks</w:t>
      </w:r>
      <w:r>
        <w:rPr>
          <w:lang w:val="en-US"/>
        </w:rPr>
        <w:t xml:space="preserve"> and</w:t>
      </w:r>
      <w:r>
        <w:rPr>
          <w:lang w:val="en-GB"/>
        </w:rPr>
        <w:t xml:space="preserve"> Khaitov, unpublished data). It should be noted that in many publications the frequencies of left-sided individuals of </w:t>
      </w:r>
      <w:r>
        <w:rPr>
          <w:i/>
          <w:lang w:val="en-GB"/>
        </w:rPr>
        <w:t>P. flesus</w:t>
      </w:r>
      <w:r>
        <w:rPr>
          <w:lang w:val="en-GB"/>
        </w:rPr>
        <w:t xml:space="preserve"> have been </w:t>
      </w:r>
      <w:r>
        <w:rPr>
          <w:lang w:val="en-US"/>
        </w:rPr>
        <w:t>obtained</w:t>
      </w:r>
      <w:r>
        <w:rPr>
          <w:lang w:val="en-GB"/>
        </w:rPr>
        <w:t xml:space="preserve"> from the samples consisting of flounders of different length and sex. First attempts, however, to compare frequencies of reversed individuals between flounders of different size have already been made more than a century ago by Duncker (Duncker 1900). Duncker (1900) has found empirical evidence for differences in this trait between young fish and larger individuals and explained them by an increased mortality of left-sided individuals in the older age</w:t>
      </w:r>
      <w:r>
        <w:rPr>
          <w:lang w:val="en-US"/>
        </w:rPr>
        <w:t xml:space="preserve"> classes</w:t>
      </w:r>
      <w:r>
        <w:rPr>
          <w:lang w:val="en-GB"/>
        </w:rPr>
        <w:t xml:space="preserve">. Sych (1930) has found no support for this hypothesis, while studying flounders of different ages from the Murman Coast of the Barents Sea. Fornbacke et al. (2002) compared fry and adult fish caught off the western coast of Sweden and reported that higher proportion of reversed individuals was observed in fry. We are not aware of any other evidence of size and age variation in proportions of the two morphs in the European flounder. With respect to another parameter, sex, it has been shown that males and females of the European flounder contained similar proportions of the left-sided individuals (Fornbacke et al. 2002; Semushin et al. 2015). The sizes of fish of different sex, however, have not been examined in these studies. The aim of the present study was therefore to estimate the proportions of left- and right-sided morphs in the flounders of both sexes from different size-age classes. </w:t>
      </w:r>
    </w:p>
    <w:p>
      <w:pPr>
        <w:autoSpaceDE w:val="0"/>
        <w:autoSpaceDN w:val="0"/>
        <w:adjustRightInd w:val="0"/>
        <w:spacing w:line="360" w:lineRule="auto"/>
        <w:rPr>
          <w:lang w:val="en-GB"/>
        </w:rPr>
      </w:pPr>
    </w:p>
    <w:p>
      <w:pPr>
        <w:autoSpaceDE w:val="0"/>
        <w:autoSpaceDN w:val="0"/>
        <w:adjustRightInd w:val="0"/>
        <w:spacing w:line="360" w:lineRule="auto"/>
        <w:rPr>
          <w:b/>
          <w:lang w:val="en-GB"/>
        </w:rPr>
      </w:pPr>
      <w:r>
        <w:rPr>
          <w:b/>
          <w:lang w:val="en-GB"/>
        </w:rPr>
        <w:t>MATERIAL</w:t>
      </w:r>
      <w:r>
        <w:rPr>
          <w:b/>
          <w:lang w:val="en-US"/>
        </w:rPr>
        <w:t>S</w:t>
      </w:r>
      <w:r>
        <w:rPr>
          <w:b/>
          <w:lang w:val="en-GB"/>
        </w:rPr>
        <w:t xml:space="preserve"> AND METHODS</w:t>
      </w:r>
    </w:p>
    <w:p>
      <w:pPr>
        <w:autoSpaceDE w:val="0"/>
        <w:autoSpaceDN w:val="0"/>
        <w:adjustRightInd w:val="0"/>
        <w:spacing w:line="360" w:lineRule="auto"/>
        <w:rPr>
          <w:b/>
          <w:lang w:val="en-GB"/>
        </w:rPr>
      </w:pPr>
    </w:p>
    <w:p>
      <w:pPr>
        <w:autoSpaceDE w:val="0"/>
        <w:autoSpaceDN w:val="0"/>
        <w:adjustRightInd w:val="0"/>
        <w:spacing w:line="360" w:lineRule="auto"/>
        <w:jc w:val="both"/>
        <w:rPr>
          <w:b/>
          <w:bCs/>
          <w:lang w:val="en-GB"/>
        </w:rPr>
      </w:pPr>
      <w:r>
        <w:rPr>
          <w:b/>
          <w:bCs/>
          <w:lang w:val="en-GB"/>
        </w:rPr>
        <w:t>Study area and sample collection</w:t>
      </w:r>
    </w:p>
    <w:p>
      <w:pPr>
        <w:autoSpaceDE w:val="0"/>
        <w:autoSpaceDN w:val="0"/>
        <w:adjustRightInd w:val="0"/>
        <w:spacing w:line="360" w:lineRule="auto"/>
        <w:jc w:val="both"/>
        <w:rPr>
          <w:lang w:val="en-GB"/>
        </w:rPr>
      </w:pPr>
      <w:r>
        <w:rPr>
          <w:lang w:val="en-GB"/>
        </w:rPr>
        <w:t>Specimens of flounder for this study were caught in Onega (n=4332; Nyukhcha River and the head of the bay), Dvina (n=4760; mouth of the Northern Dvina) and Mezen (n=2272; mouth of the Mezen River) bays of the White Sea over the period of May-August 2003-2019 during the regular expeditions made by the Polar Branch of the Russian Federal Research Institute Of Fisheries and Oceanography (VNIRO) (collected by G.V. Fuks and other employees) (Figure 1). Since the two samples from Onega Bay showed no statistically significant differences in the size-age composition and morph proportions, they were pooled together into a single dataset. In Kandalaksha Bay, fish were captured at Chupa Inlet by personnel of the Zoological Institute of the Russian Academy of Sciences (ZIN RAS) and VNIRO during the springs and summers of 2015-2019</w:t>
      </w:r>
      <w:r>
        <w:rPr>
          <w:lang w:val="en-US"/>
        </w:rPr>
        <w:t xml:space="preserve"> </w:t>
      </w:r>
      <w:r>
        <w:rPr>
          <w:lang w:val="en-GB"/>
        </w:rPr>
        <w:t xml:space="preserve">(n=484). In all bays, flounders were caught in coastal waters using variable mesh gillnets (mesh size of 30-50 mm) and traps. The number of left- and right-sided individuals was counted in each sample. The sex of flounders was determined visually after their dissection. The total body length of all freshly caught flounders was measured to the nearest 0.1 cm. The age of the fish was estimated from otoliths only for individuals caught in Onega Bay (Christensen 1964; Chilton 1982; Fuks 2015). </w:t>
      </w:r>
      <w:r>
        <w:drawing>
          <wp:inline distT="0" distB="0" distL="0" distR="0">
            <wp:extent cx="50165" cy="76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5"/>
                    <a:stretch>
                      <a:fillRect/>
                    </a:stretch>
                  </pic:blipFill>
                  <pic:spPr>
                    <a:xfrm>
                      <a:off x="0" y="0"/>
                      <a:ext cx="50375" cy="7633"/>
                    </a:xfrm>
                    <a:prstGeom prst="rect">
                      <a:avLst/>
                    </a:prstGeom>
                  </pic:spPr>
                </pic:pic>
              </a:graphicData>
            </a:graphic>
          </wp:inline>
        </w:drawing>
      </w:r>
      <w:r>
        <w:rPr>
          <w:lang w:val="en-GB"/>
        </w:rPr>
        <w:t xml:space="preserve"> </w:t>
      </w:r>
      <w:r>
        <w:drawing>
          <wp:inline distT="0" distB="0" distL="0" distR="0">
            <wp:extent cx="7620" cy="1651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pic:cNvPicPr>
                  </pic:nvPicPr>
                  <pic:blipFill>
                    <a:blip r:embed="rId6"/>
                    <a:stretch>
                      <a:fillRect/>
                    </a:stretch>
                  </pic:blipFill>
                  <pic:spPr>
                    <a:xfrm>
                      <a:off x="0" y="0"/>
                      <a:ext cx="7633" cy="16792"/>
                    </a:xfrm>
                    <a:prstGeom prst="rect">
                      <a:avLst/>
                    </a:prstGeom>
                  </pic:spPr>
                </pic:pic>
              </a:graphicData>
            </a:graphic>
          </wp:inline>
        </w:drawing>
      </w:r>
      <w:r>
        <w:rPr>
          <w:lang w:val="en-GB"/>
        </w:rPr>
        <w:t xml:space="preserve"> </w:t>
      </w:r>
      <w:r>
        <w:drawing>
          <wp:inline distT="0" distB="0" distL="0" distR="0">
            <wp:extent cx="7620" cy="1651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pic:cNvPicPr>
                  </pic:nvPicPr>
                  <pic:blipFill>
                    <a:blip r:embed="rId6"/>
                    <a:stretch>
                      <a:fillRect/>
                    </a:stretch>
                  </pic:blipFill>
                  <pic:spPr>
                    <a:xfrm>
                      <a:off x="0" y="0"/>
                      <a:ext cx="7633" cy="16792"/>
                    </a:xfrm>
                    <a:prstGeom prst="rect">
                      <a:avLst/>
                    </a:prstGeom>
                  </pic:spPr>
                </pic:pic>
              </a:graphicData>
            </a:graphic>
          </wp:inline>
        </w:drawing>
      </w:r>
      <w:r>
        <w:rPr>
          <w:lang w:val="en-GB"/>
        </w:rPr>
        <w:t xml:space="preserve"> </w:t>
      </w:r>
      <w:r>
        <w:drawing>
          <wp:inline distT="0" distB="0" distL="0" distR="0">
            <wp:extent cx="7620" cy="1651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pic:cNvPicPr>
                  </pic:nvPicPr>
                  <pic:blipFill>
                    <a:blip r:embed="rId6"/>
                    <a:stretch>
                      <a:fillRect/>
                    </a:stretch>
                  </pic:blipFill>
                  <pic:spPr>
                    <a:xfrm>
                      <a:off x="0" y="0"/>
                      <a:ext cx="7633" cy="16792"/>
                    </a:xfrm>
                    <a:prstGeom prst="rect">
                      <a:avLst/>
                    </a:prstGeom>
                  </pic:spPr>
                </pic:pic>
              </a:graphicData>
            </a:graphic>
          </wp:inline>
        </w:drawing>
      </w:r>
      <w:r>
        <w:rPr>
          <w:lang w:val="en-GB"/>
        </w:rPr>
        <w:t xml:space="preserve"> </w:t>
      </w:r>
      <w:r>
        <w:drawing>
          <wp:inline distT="0" distB="0" distL="0" distR="0">
            <wp:extent cx="7620" cy="1651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pic:cNvPicPr>
                  </pic:nvPicPr>
                  <pic:blipFill>
                    <a:blip r:embed="rId6"/>
                    <a:stretch>
                      <a:fillRect/>
                    </a:stretch>
                  </pic:blipFill>
                  <pic:spPr>
                    <a:xfrm>
                      <a:off x="0" y="0"/>
                      <a:ext cx="7633" cy="16792"/>
                    </a:xfrm>
                    <a:prstGeom prst="rect">
                      <a:avLst/>
                    </a:prstGeom>
                  </pic:spPr>
                </pic:pic>
              </a:graphicData>
            </a:graphic>
          </wp:inline>
        </w:drawing>
      </w:r>
      <w:r>
        <w:rPr>
          <w:lang w:val="en-GB"/>
        </w:rPr>
        <w:t xml:space="preserve"> </w:t>
      </w:r>
    </w:p>
    <w:p>
      <w:pPr>
        <w:autoSpaceDE w:val="0"/>
        <w:autoSpaceDN w:val="0"/>
        <w:adjustRightInd w:val="0"/>
        <w:spacing w:line="360" w:lineRule="auto"/>
        <w:jc w:val="both"/>
        <w:rPr>
          <w:rStyle w:val="8"/>
          <w:lang w:val="en-GB"/>
        </w:rPr>
      </w:pPr>
    </w:p>
    <w:p>
      <w:pPr>
        <w:autoSpaceDE w:val="0"/>
        <w:autoSpaceDN w:val="0"/>
        <w:adjustRightInd w:val="0"/>
        <w:spacing w:line="360" w:lineRule="auto"/>
        <w:jc w:val="both"/>
        <w:rPr>
          <w:b/>
          <w:bCs/>
          <w:lang w:val="en-GB"/>
        </w:rPr>
      </w:pPr>
      <w:r>
        <w:rPr>
          <w:b/>
          <w:bCs/>
          <w:lang w:val="en-GB"/>
        </w:rPr>
        <w:t xml:space="preserve">Statistical analysis </w:t>
      </w:r>
    </w:p>
    <w:p>
      <w:pPr>
        <w:autoSpaceDE w:val="0"/>
        <w:autoSpaceDN w:val="0"/>
        <w:adjustRightInd w:val="0"/>
        <w:spacing w:line="360" w:lineRule="auto"/>
        <w:jc w:val="both"/>
        <w:rPr>
          <w:lang w:val="en-GB"/>
        </w:rPr>
      </w:pPr>
      <w:r>
        <w:rPr>
          <w:lang w:val="en-GB"/>
        </w:rPr>
        <w:t xml:space="preserve">The growth of left- and right-sided flounders was estimated by analysing sizes of fish of different ages. The growth of fish was described using the von Bertalanffy equation: </w:t>
      </w:r>
      <w:r>
        <w:rPr>
          <w:i/>
          <w:lang w:val="en-GB"/>
        </w:rPr>
        <w:t>L</w:t>
      </w:r>
      <w:r>
        <w:rPr>
          <w:vertAlign w:val="subscript"/>
          <w:lang w:val="en-GB"/>
        </w:rPr>
        <w:t>t</w:t>
      </w:r>
      <w:r>
        <w:rPr>
          <w:lang w:val="en-GB"/>
        </w:rPr>
        <w:t xml:space="preserve"> = </w:t>
      </w:r>
      <w:r>
        <w:rPr>
          <w:i/>
          <w:lang w:val="en-GB"/>
        </w:rPr>
        <w:t>L</w:t>
      </w:r>
      <w:r>
        <w:rPr>
          <w:vertAlign w:val="subscript"/>
          <w:lang w:val="en-GB"/>
        </w:rPr>
        <w:t xml:space="preserve">∞ </w:t>
      </w:r>
      <w:r>
        <w:rPr>
          <w:lang w:val="en-GB"/>
        </w:rPr>
        <w:t>(1-e</w:t>
      </w:r>
      <w:r>
        <w:rPr>
          <w:vertAlign w:val="superscript"/>
          <w:lang w:val="en-GB"/>
        </w:rPr>
        <w:t>(-k (t-to))</w:t>
      </w:r>
      <w:r>
        <w:rPr>
          <w:lang w:val="en-GB"/>
        </w:rPr>
        <w:t xml:space="preserve">), </w:t>
      </w:r>
      <w:r>
        <w:rPr>
          <w:rFonts w:eastAsia="Times-Roman"/>
          <w:lang w:val="en-GB"/>
        </w:rPr>
        <w:t xml:space="preserve">where </w:t>
      </w:r>
      <w:r>
        <w:rPr>
          <w:rFonts w:eastAsia="Times-Italic"/>
          <w:i/>
          <w:iCs/>
          <w:lang w:val="en-GB"/>
        </w:rPr>
        <w:t>L</w:t>
      </w:r>
      <w:r>
        <w:rPr>
          <w:rFonts w:eastAsia="Times-Italic"/>
          <w:iCs/>
          <w:vertAlign w:val="subscript"/>
          <w:lang w:val="en-GB"/>
        </w:rPr>
        <w:t>t</w:t>
      </w:r>
      <w:r>
        <w:rPr>
          <w:rFonts w:eastAsia="Times-Italic"/>
          <w:iCs/>
          <w:lang w:val="en-GB"/>
        </w:rPr>
        <w:t xml:space="preserve"> </w:t>
      </w:r>
      <w:r>
        <w:rPr>
          <w:rFonts w:eastAsia="Times-Roman"/>
          <w:lang w:val="en-GB"/>
        </w:rPr>
        <w:t>is the fish length (</w:t>
      </w:r>
      <w:r>
        <w:rPr>
          <w:rFonts w:eastAsia="Times-Roman"/>
          <w:color w:val="000000"/>
          <w:lang w:val="en-GB"/>
        </w:rPr>
        <w:t>cm</w:t>
      </w:r>
      <w:r>
        <w:rPr>
          <w:rFonts w:eastAsia="Times-Roman"/>
          <w:lang w:val="en-GB"/>
        </w:rPr>
        <w:t xml:space="preserve">) at age </w:t>
      </w:r>
      <w:r>
        <w:rPr>
          <w:rFonts w:eastAsia="Times-Italic"/>
          <w:iCs/>
          <w:lang w:val="en-GB"/>
        </w:rPr>
        <w:t>t</w:t>
      </w:r>
      <w:r>
        <w:rPr>
          <w:rFonts w:eastAsia="Times-Italic"/>
          <w:i/>
          <w:iCs/>
          <w:lang w:val="en-GB"/>
        </w:rPr>
        <w:t xml:space="preserve"> </w:t>
      </w:r>
      <w:r>
        <w:rPr>
          <w:rFonts w:eastAsia="Times-Italic"/>
          <w:iCs/>
          <w:lang w:val="en-GB"/>
        </w:rPr>
        <w:t>(years), and</w:t>
      </w:r>
      <w:r>
        <w:rPr>
          <w:rFonts w:eastAsia="Times-Italic"/>
          <w:i/>
          <w:iCs/>
          <w:lang w:val="en-GB"/>
        </w:rPr>
        <w:t xml:space="preserve"> L</w:t>
      </w:r>
      <w:r>
        <w:rPr>
          <w:vertAlign w:val="subscript"/>
          <w:lang w:val="en-GB"/>
        </w:rPr>
        <w:t>∞</w:t>
      </w:r>
      <w:r>
        <w:rPr>
          <w:rFonts w:eastAsia="Times-Bold"/>
          <w:bCs/>
          <w:lang w:val="en-GB"/>
        </w:rPr>
        <w:t>,</w:t>
      </w:r>
      <w:r>
        <w:rPr>
          <w:rFonts w:eastAsia="Times-Bold"/>
          <w:b/>
          <w:bCs/>
          <w:lang w:val="en-GB"/>
        </w:rPr>
        <w:t xml:space="preserve"> </w:t>
      </w:r>
      <w:r>
        <w:rPr>
          <w:rFonts w:eastAsia="Times-Roman"/>
          <w:lang w:val="en-GB"/>
        </w:rPr>
        <w:t xml:space="preserve">k and </w:t>
      </w:r>
      <w:r>
        <w:rPr>
          <w:rFonts w:eastAsia="Times-Italic"/>
          <w:iCs/>
          <w:lang w:val="en-GB"/>
        </w:rPr>
        <w:t>t</w:t>
      </w:r>
      <w:r>
        <w:rPr>
          <w:rFonts w:eastAsia="Times-Italic"/>
          <w:iCs/>
          <w:vertAlign w:val="subscript"/>
          <w:lang w:val="en-GB"/>
        </w:rPr>
        <w:t>o</w:t>
      </w:r>
      <w:r>
        <w:rPr>
          <w:rFonts w:eastAsia="Times-Italic"/>
          <w:iCs/>
          <w:lang w:val="en-GB"/>
        </w:rPr>
        <w:t xml:space="preserve"> </w:t>
      </w:r>
      <w:r>
        <w:rPr>
          <w:rFonts w:eastAsia="Times-Roman"/>
          <w:lang w:val="en-GB"/>
        </w:rPr>
        <w:t xml:space="preserve">are coefficients </w:t>
      </w:r>
      <w:r>
        <w:rPr>
          <w:lang w:val="en-GB"/>
        </w:rPr>
        <w:t>(</w:t>
      </w:r>
      <w:r>
        <w:rPr>
          <w:lang w:val="en-US"/>
        </w:rPr>
        <w:t>Brey 2001</w:t>
      </w:r>
      <w:r>
        <w:rPr>
          <w:lang w:val="en-GB"/>
        </w:rPr>
        <w:t>)</w:t>
      </w:r>
      <w:r>
        <w:rPr>
          <w:rFonts w:eastAsia="Times-Roman"/>
          <w:lang w:val="en-GB"/>
        </w:rPr>
        <w:t xml:space="preserve">. </w:t>
      </w:r>
      <w:r>
        <w:rPr>
          <w:lang w:val="en-GB"/>
        </w:rPr>
        <w:t>Pairwise comparison of growth curves was carried out through the analysis of residual variance in separate growth regressions and a combined regression based on the pooled data. Differences in variance were assessed using the F-test (</w:t>
      </w:r>
      <w:r>
        <w:rPr>
          <w:i/>
          <w:lang w:val="en-GB"/>
        </w:rPr>
        <w:t>F</w:t>
      </w:r>
      <w:r>
        <w:rPr>
          <w:lang w:val="en-GB"/>
        </w:rPr>
        <w:t>). The analysis was performed in the GraphPad Prism software package.</w:t>
      </w:r>
    </w:p>
    <w:p>
      <w:pPr>
        <w:autoSpaceDE w:val="0"/>
        <w:autoSpaceDN w:val="0"/>
        <w:adjustRightInd w:val="0"/>
        <w:spacing w:line="360" w:lineRule="auto"/>
        <w:jc w:val="both"/>
        <w:rPr>
          <w:lang w:val="en-GB"/>
        </w:rPr>
      </w:pPr>
      <w:r>
        <w:rPr>
          <w:lang w:val="en-GB"/>
        </w:rPr>
        <w:t xml:space="preserve"> </w:t>
      </w:r>
    </w:p>
    <w:p>
      <w:pPr>
        <w:autoSpaceDE w:val="0"/>
        <w:autoSpaceDN w:val="0"/>
        <w:adjustRightInd w:val="0"/>
        <w:spacing w:line="360" w:lineRule="auto"/>
        <w:jc w:val="both"/>
        <w:rPr>
          <w:lang w:val="en-GB"/>
        </w:rPr>
      </w:pPr>
      <w:r>
        <w:rPr>
          <w:lang w:val="en-GB"/>
        </w:rPr>
        <w:t xml:space="preserve">Two regression models were developed to identify the </w:t>
      </w:r>
      <w:r>
        <w:rPr>
          <w:lang w:val="en-US"/>
        </w:rPr>
        <w:t xml:space="preserve">relationship </w:t>
      </w:r>
      <w:r>
        <w:rPr>
          <w:lang w:val="en-GB"/>
        </w:rPr>
        <w:t xml:space="preserve">between the frequency of left-sided fish and the size, age, and collection site. Both models were built as </w:t>
      </w:r>
      <w:r>
        <w:rPr>
          <w:lang w:val="en-US"/>
        </w:rPr>
        <w:t xml:space="preserve">binomial </w:t>
      </w:r>
      <w:r>
        <w:rPr>
          <w:lang w:val="en-GB"/>
        </w:rPr>
        <w:t xml:space="preserve">logistic regression. The dependent variable was coded as 1 for the left-sided morph and 0 for the right-sided morph. Fish length </w:t>
      </w:r>
      <w:r>
        <w:rPr>
          <w:i/>
          <w:lang w:val="en-GB"/>
        </w:rPr>
        <w:t>(“Length”</w:t>
      </w:r>
      <w:r>
        <w:rPr>
          <w:lang w:val="en-GB"/>
        </w:rPr>
        <w:t xml:space="preserve">, continuous </w:t>
      </w:r>
      <w:r>
        <w:rPr>
          <w:lang w:val="en-US"/>
        </w:rPr>
        <w:t>variable</w:t>
      </w:r>
      <w:r>
        <w:rPr>
          <w:lang w:val="en-GB"/>
        </w:rPr>
        <w:t>), sex (</w:t>
      </w:r>
      <w:r>
        <w:rPr>
          <w:i/>
          <w:lang w:val="en-GB"/>
        </w:rPr>
        <w:t>“Sex”</w:t>
      </w:r>
      <w:r>
        <w:rPr>
          <w:lang w:val="en-GB"/>
        </w:rPr>
        <w:t>, discrete factor with two levels) and bay (</w:t>
      </w:r>
      <w:r>
        <w:rPr>
          <w:i/>
          <w:lang w:val="en-GB"/>
        </w:rPr>
        <w:t>“Bay”</w:t>
      </w:r>
      <w:r>
        <w:rPr>
          <w:lang w:val="en-GB"/>
        </w:rPr>
        <w:t>,</w:t>
      </w:r>
      <w:r>
        <w:rPr>
          <w:i/>
          <w:lang w:val="en-GB"/>
        </w:rPr>
        <w:t xml:space="preserve"> </w:t>
      </w:r>
      <w:r>
        <w:rPr>
          <w:lang w:val="en-GB"/>
        </w:rPr>
        <w:t>discrete factor with four levels) were used as predictors in the model</w:t>
      </w:r>
      <w:r>
        <w:rPr>
          <w:lang w:val="en-US"/>
        </w:rPr>
        <w:t xml:space="preserve"> </w:t>
      </w:r>
      <w:r>
        <w:rPr>
          <w:lang w:val="en-GB"/>
        </w:rPr>
        <w:t xml:space="preserve">М1. During the first </w:t>
      </w:r>
      <w:r>
        <w:rPr>
          <w:lang w:val="en-US"/>
        </w:rPr>
        <w:t>step</w:t>
      </w:r>
      <w:r>
        <w:rPr>
          <w:lang w:val="en-GB"/>
        </w:rPr>
        <w:t xml:space="preserve"> of the analysis, all possible interactions between predictors were included in М1. After the </w:t>
      </w:r>
      <w:r>
        <w:rPr>
          <w:lang w:val="en-US"/>
        </w:rPr>
        <w:t xml:space="preserve">full </w:t>
      </w:r>
      <w:r>
        <w:rPr>
          <w:lang w:val="en-GB"/>
        </w:rPr>
        <w:t xml:space="preserve">model was </w:t>
      </w:r>
      <w:r>
        <w:rPr>
          <w:lang w:val="en-US"/>
        </w:rPr>
        <w:t>constructed</w:t>
      </w:r>
      <w:r>
        <w:rPr>
          <w:lang w:val="en-GB"/>
        </w:rPr>
        <w:t xml:space="preserve">, it was </w:t>
      </w:r>
      <w:r>
        <w:rPr>
          <w:lang w:val="en-US"/>
        </w:rPr>
        <w:t>optimized</w:t>
      </w:r>
      <w:r>
        <w:rPr>
          <w:lang w:val="en-GB"/>
        </w:rPr>
        <w:t xml:space="preserve"> according to the protocol of backward selection (Zuur et al. 2009). The model with the minimum value of A</w:t>
      </w:r>
      <w:r>
        <w:rPr>
          <w:lang w:val="en-US"/>
        </w:rPr>
        <w:t>k</w:t>
      </w:r>
      <w:r>
        <w:rPr>
          <w:lang w:val="en-GB"/>
        </w:rPr>
        <w:t>aike Information Criterion (AIC) was accepted as final</w:t>
      </w:r>
      <w:r>
        <w:rPr>
          <w:lang w:val="en-US"/>
        </w:rPr>
        <w:t xml:space="preserve"> one</w:t>
      </w:r>
      <w:r>
        <w:rPr>
          <w:lang w:val="en-GB"/>
        </w:rPr>
        <w:t xml:space="preserve">. </w:t>
      </w:r>
    </w:p>
    <w:p>
      <w:pPr>
        <w:autoSpaceDE w:val="0"/>
        <w:autoSpaceDN w:val="0"/>
        <w:adjustRightInd w:val="0"/>
        <w:spacing w:line="360" w:lineRule="auto"/>
        <w:jc w:val="both"/>
        <w:rPr>
          <w:lang w:val="en-GB"/>
        </w:rPr>
      </w:pPr>
    </w:p>
    <w:p>
      <w:pPr>
        <w:autoSpaceDE w:val="0"/>
        <w:autoSpaceDN w:val="0"/>
        <w:adjustRightInd w:val="0"/>
        <w:spacing w:line="360" w:lineRule="auto"/>
        <w:jc w:val="both"/>
        <w:rPr>
          <w:lang w:val="en-US"/>
        </w:rPr>
      </w:pPr>
      <w:r>
        <w:rPr>
          <w:lang w:val="en-GB"/>
        </w:rPr>
        <w:t xml:space="preserve">Model М2 was built to </w:t>
      </w:r>
      <w:r>
        <w:rPr>
          <w:lang w:val="en-US"/>
        </w:rPr>
        <w:t>assess</w:t>
      </w:r>
      <w:r>
        <w:rPr>
          <w:lang w:val="en-GB"/>
        </w:rPr>
        <w:t xml:space="preserve"> the relationship between the probability of encountering reversed individuals </w:t>
      </w:r>
      <w:r>
        <w:rPr>
          <w:lang w:val="en-US"/>
        </w:rPr>
        <w:t xml:space="preserve">and age of </w:t>
      </w:r>
      <w:r>
        <w:rPr>
          <w:lang w:val="en-GB"/>
        </w:rPr>
        <w:t>fish (</w:t>
      </w:r>
      <w:r>
        <w:rPr>
          <w:i/>
          <w:lang w:val="en-US"/>
        </w:rPr>
        <w:t>“Age”</w:t>
      </w:r>
      <w:r>
        <w:rPr>
          <w:lang w:val="en-US"/>
        </w:rPr>
        <w:t>, continuous variable)</w:t>
      </w:r>
      <w:r>
        <w:rPr>
          <w:lang w:val="en-GB"/>
        </w:rPr>
        <w:t xml:space="preserve">. </w:t>
      </w:r>
      <w:r>
        <w:rPr>
          <w:lang w:val="en-US"/>
        </w:rPr>
        <w:t xml:space="preserve">Factor </w:t>
      </w:r>
      <w:r>
        <w:rPr>
          <w:i/>
          <w:lang w:val="en-GB"/>
        </w:rPr>
        <w:t>“Sex”</w:t>
      </w:r>
      <w:r>
        <w:rPr>
          <w:lang w:val="en-GB"/>
        </w:rPr>
        <w:t xml:space="preserve"> </w:t>
      </w:r>
      <w:r>
        <w:rPr>
          <w:lang w:val="en-US"/>
        </w:rPr>
        <w:t xml:space="preserve">and </w:t>
      </w:r>
      <w:r>
        <w:rPr>
          <w:i/>
          <w:lang w:val="en-US"/>
        </w:rPr>
        <w:t>“Age”:”Sex”</w:t>
      </w:r>
      <w:r>
        <w:rPr>
          <w:lang w:val="en-US"/>
        </w:rPr>
        <w:t xml:space="preserve"> interaction were also included </w:t>
      </w:r>
      <w:r>
        <w:rPr>
          <w:lang w:val="en-GB"/>
        </w:rPr>
        <w:t xml:space="preserve"> </w:t>
      </w:r>
      <w:r>
        <w:rPr>
          <w:lang w:val="en-US"/>
        </w:rPr>
        <w:t xml:space="preserve">in </w:t>
      </w:r>
      <w:r>
        <w:rPr>
          <w:bCs/>
          <w:lang w:val="en-GB"/>
        </w:rPr>
        <w:t>the model</w:t>
      </w:r>
      <w:r>
        <w:rPr>
          <w:lang w:val="en-GB"/>
        </w:rPr>
        <w:t xml:space="preserve">. Individuals ranged from 2 to 13-years old </w:t>
      </w:r>
      <w:r>
        <w:rPr>
          <w:lang w:val="en-US"/>
        </w:rPr>
        <w:t xml:space="preserve">were used for the analysis. Yearlings were discarded due to scarce presence in samples. </w:t>
      </w:r>
    </w:p>
    <w:p>
      <w:pPr>
        <w:autoSpaceDE w:val="0"/>
        <w:autoSpaceDN w:val="0"/>
        <w:adjustRightInd w:val="0"/>
        <w:spacing w:line="360" w:lineRule="auto"/>
        <w:jc w:val="both"/>
        <w:rPr>
          <w:lang w:val="en-GB"/>
        </w:rPr>
      </w:pPr>
    </w:p>
    <w:p>
      <w:pPr>
        <w:autoSpaceDE w:val="0"/>
        <w:autoSpaceDN w:val="0"/>
        <w:adjustRightInd w:val="0"/>
        <w:spacing w:line="360" w:lineRule="auto"/>
        <w:jc w:val="both"/>
        <w:rPr>
          <w:lang w:val="en-GB"/>
        </w:rPr>
      </w:pPr>
      <w:r>
        <w:rPr>
          <w:lang w:val="en-GB"/>
        </w:rPr>
        <w:t xml:space="preserve">All final models were checked for </w:t>
      </w:r>
      <w:r>
        <w:rPr>
          <w:lang w:val="en-US"/>
        </w:rPr>
        <w:t xml:space="preserve">overdispersion </w:t>
      </w:r>
      <w:r>
        <w:rPr>
          <w:lang w:val="en-GB"/>
        </w:rPr>
        <w:t xml:space="preserve">and for the absence of non-linear patterns in the residuals. Both models were constructed using functions of the R statistical language (R Core Team 2020). </w:t>
      </w:r>
    </w:p>
    <w:p>
      <w:pPr>
        <w:autoSpaceDE w:val="0"/>
        <w:autoSpaceDN w:val="0"/>
        <w:adjustRightInd w:val="0"/>
        <w:spacing w:line="360" w:lineRule="auto"/>
        <w:jc w:val="both"/>
        <w:rPr>
          <w:lang w:val="en-GB"/>
        </w:rPr>
      </w:pPr>
    </w:p>
    <w:p>
      <w:pPr>
        <w:pStyle w:val="14"/>
        <w:spacing w:line="240" w:lineRule="auto"/>
        <w:ind w:firstLine="0"/>
        <w:rPr>
          <w:b/>
          <w:lang w:val="en-GB"/>
        </w:rPr>
      </w:pPr>
      <w:bookmarkStart w:id="0" w:name="результаты-исследования"/>
      <w:r>
        <w:rPr>
          <w:b/>
          <w:lang w:val="en-GB"/>
        </w:rPr>
        <w:t>RESULTS</w:t>
      </w:r>
      <w:bookmarkEnd w:id="0"/>
    </w:p>
    <w:p>
      <w:pPr>
        <w:pStyle w:val="14"/>
        <w:spacing w:line="240" w:lineRule="auto"/>
        <w:ind w:firstLine="0"/>
        <w:rPr>
          <w:b/>
          <w:lang w:val="en-GB"/>
        </w:rPr>
      </w:pPr>
    </w:p>
    <w:p>
      <w:pPr>
        <w:pStyle w:val="14"/>
        <w:spacing w:line="360" w:lineRule="auto"/>
        <w:ind w:firstLine="0"/>
        <w:rPr>
          <w:lang w:val="en-GB"/>
        </w:rPr>
      </w:pPr>
      <w:r>
        <w:rPr>
          <w:lang w:val="en-GB"/>
        </w:rPr>
        <w:t>In each of the populations studied, the size-frequency distributions of the left- and right-sided individuals were similar among the flounders of one sex: variation ranges were comparable and medians did not exhibit any significant differences (Figure 2). Left- and right-sided males/females from Kandalaksha Bay were larger than those from the three other bays. The comparison of growth patterns for the left- and right-sided individuals among the males and females was performed only for the sample from Onega Bay, in which the numbers of studied</w:t>
      </w:r>
      <w:r>
        <w:rPr>
          <w:lang w:val="en-US"/>
        </w:rPr>
        <w:t xml:space="preserve"> </w:t>
      </w:r>
      <w:r>
        <w:rPr>
          <w:lang w:val="en-GB"/>
        </w:rPr>
        <w:t>reversed fish were highest compared to the other populations. The results show that among the fish of the same sex the growth curves did not differ between the left- and right-sided individuals (</w:t>
      </w:r>
      <w:r>
        <w:rPr>
          <w:i/>
          <w:lang w:val="en-GB"/>
        </w:rPr>
        <w:t>F</w:t>
      </w:r>
      <w:r>
        <w:rPr>
          <w:lang w:val="en-GB"/>
        </w:rPr>
        <w:t>=0.5</w:t>
      </w:r>
      <w:r>
        <w:rPr>
          <w:lang w:val="en-US"/>
        </w:rPr>
        <w:t>2</w:t>
      </w:r>
      <w:r>
        <w:rPr>
          <w:lang w:val="en-GB"/>
        </w:rPr>
        <w:t xml:space="preserve"> for males and </w:t>
      </w:r>
      <w:r>
        <w:rPr>
          <w:i/>
          <w:lang w:val="en-GB"/>
        </w:rPr>
        <w:t>F</w:t>
      </w:r>
      <w:r>
        <w:rPr>
          <w:lang w:val="en-GB"/>
        </w:rPr>
        <w:t>=1.</w:t>
      </w:r>
      <w:r>
        <w:rPr>
          <w:lang w:val="en-US"/>
        </w:rPr>
        <w:t>57</w:t>
      </w:r>
      <w:r>
        <w:rPr>
          <w:lang w:val="en-GB"/>
        </w:rPr>
        <w:t xml:space="preserve"> for females; р&gt;0.05). </w:t>
      </w:r>
    </w:p>
    <w:p>
      <w:pPr>
        <w:pStyle w:val="14"/>
        <w:spacing w:line="360" w:lineRule="auto"/>
        <w:ind w:firstLine="0"/>
        <w:rPr>
          <w:lang w:val="en-GB"/>
        </w:rPr>
      </w:pPr>
    </w:p>
    <w:p>
      <w:pPr>
        <w:pStyle w:val="14"/>
        <w:spacing w:line="360" w:lineRule="auto"/>
        <w:ind w:firstLine="0"/>
        <w:rPr>
          <w:lang w:val="en-GB"/>
        </w:rPr>
      </w:pPr>
      <w:r>
        <w:rPr>
          <w:lang w:val="en-GB"/>
        </w:rPr>
        <w:t>Logistic regression model M1 was constructed to analyse the relationship between the frequency of left-sided individuals and the length and sex of fish in the study samples. For this model, the Akaike Information Criterion (AIC) was 7457.0. Predictors “</w:t>
      </w:r>
      <w:r>
        <w:rPr>
          <w:i/>
          <w:lang w:val="en-GB"/>
        </w:rPr>
        <w:t>Sex</w:t>
      </w:r>
      <w:r>
        <w:rPr>
          <w:lang w:val="en-GB"/>
        </w:rPr>
        <w:t>”</w:t>
      </w:r>
      <w:r>
        <w:rPr>
          <w:lang w:val="en-US"/>
        </w:rPr>
        <w:t xml:space="preserve">, </w:t>
      </w:r>
      <w:r>
        <w:rPr>
          <w:lang w:val="en-GB"/>
        </w:rPr>
        <w:t>“</w:t>
      </w:r>
      <w:r>
        <w:rPr>
          <w:i/>
          <w:lang w:val="en-GB"/>
        </w:rPr>
        <w:t>Length</w:t>
      </w:r>
      <w:r>
        <w:rPr>
          <w:lang w:val="en-GB"/>
        </w:rPr>
        <w:t xml:space="preserve">” and all interactions between </w:t>
      </w:r>
      <w:r>
        <w:rPr>
          <w:lang w:val="en-US"/>
        </w:rPr>
        <w:t>terms</w:t>
      </w:r>
      <w:r>
        <w:rPr>
          <w:lang w:val="en-GB"/>
        </w:rPr>
        <w:t xml:space="preserve"> have been removed from the model during the procedure of backward selection (for the final model AIC=</w:t>
      </w:r>
      <w:r>
        <w:rPr>
          <w:lang w:val="en-US"/>
        </w:rPr>
        <w:t>7447.8</w:t>
      </w:r>
      <w:r>
        <w:rPr>
          <w:lang w:val="en-GB"/>
        </w:rPr>
        <w:t xml:space="preserve">). The parameters of the final model are shown in Table 1. </w:t>
      </w:r>
    </w:p>
    <w:p>
      <w:pPr>
        <w:pStyle w:val="14"/>
        <w:spacing w:line="360" w:lineRule="auto"/>
        <w:ind w:firstLine="0"/>
        <w:rPr>
          <w:lang w:val="en-GB"/>
        </w:rPr>
      </w:pPr>
    </w:p>
    <w:p>
      <w:pPr>
        <w:pStyle w:val="14"/>
        <w:spacing w:line="360" w:lineRule="auto"/>
        <w:ind w:firstLine="0"/>
        <w:rPr>
          <w:strike/>
          <w:lang w:val="en-US"/>
        </w:rPr>
      </w:pPr>
      <w:r>
        <w:rPr>
          <w:lang w:val="en-GB"/>
        </w:rPr>
        <w:t>The results indicate that a statistically significant effect on frequency of reversed individuals was determined by the location of the population</w:t>
      </w:r>
      <w:ins w:id="45" w:author="google1599737165" w:date="2022-09-01T17:59:24Z">
        <w:r>
          <w:rPr>
            <w:rFonts w:hint="default"/>
            <w:lang w:val="en-US"/>
          </w:rPr>
          <w:t xml:space="preserve"> </w:t>
        </w:r>
      </w:ins>
      <w:ins w:id="46" w:author="google1599737165" w:date="2022-09-01T17:59:25Z">
        <w:r>
          <w:rPr>
            <w:rFonts w:hint="default"/>
            <w:lang w:val="en-US"/>
          </w:rPr>
          <w:t>o</w:t>
        </w:r>
      </w:ins>
      <w:ins w:id="47" w:author="google1599737165" w:date="2022-09-01T17:59:26Z">
        <w:r>
          <w:rPr>
            <w:rFonts w:hint="default"/>
            <w:lang w:val="en-US"/>
          </w:rPr>
          <w:t>nl</w:t>
        </w:r>
      </w:ins>
      <w:ins w:id="48" w:author="google1599737165" w:date="2022-09-01T17:59:27Z">
        <w:r>
          <w:rPr>
            <w:rFonts w:hint="default"/>
            <w:lang w:val="en-US"/>
          </w:rPr>
          <w:t>y</w:t>
        </w:r>
      </w:ins>
      <w:r>
        <w:rPr>
          <w:lang w:val="en-GB"/>
        </w:rPr>
        <w:t xml:space="preserve"> (factor “</w:t>
      </w:r>
      <w:r>
        <w:rPr>
          <w:i/>
          <w:lang w:val="en-GB"/>
        </w:rPr>
        <w:t>Bay</w:t>
      </w:r>
      <w:r>
        <w:rPr>
          <w:lang w:val="en-GB"/>
        </w:rPr>
        <w:t xml:space="preserve">”). The factors </w:t>
      </w:r>
      <w:r>
        <w:rPr>
          <w:lang w:val="en-US"/>
        </w:rPr>
        <w:t>“</w:t>
      </w:r>
      <w:r>
        <w:rPr>
          <w:i/>
          <w:lang w:val="en-US"/>
        </w:rPr>
        <w:t>Length</w:t>
      </w:r>
      <w:r>
        <w:rPr>
          <w:lang w:val="en-US"/>
        </w:rPr>
        <w:t xml:space="preserve">” </w:t>
      </w:r>
      <w:r>
        <w:t>и</w:t>
      </w:r>
      <w:r>
        <w:rPr>
          <w:lang w:val="en-US"/>
        </w:rPr>
        <w:t xml:space="preserve"> “</w:t>
      </w:r>
      <w:r>
        <w:rPr>
          <w:i/>
          <w:lang w:val="en-US"/>
        </w:rPr>
        <w:t>Sex</w:t>
      </w:r>
      <w:r>
        <w:rPr>
          <w:lang w:val="en-US"/>
        </w:rPr>
        <w:t>”</w:t>
      </w:r>
      <w:r>
        <w:rPr>
          <w:lang w:val="en-GB"/>
        </w:rPr>
        <w:t xml:space="preserve"> did not influence the ratio of morphs. According to the</w:t>
      </w:r>
      <w:r>
        <w:rPr>
          <w:lang w:val="en-US"/>
        </w:rPr>
        <w:t xml:space="preserve"> final</w:t>
      </w:r>
      <w:r>
        <w:rPr>
          <w:lang w:val="en-GB"/>
        </w:rPr>
        <w:t xml:space="preserve"> model, the frequencies of reversed individuals were highly different between</w:t>
      </w:r>
      <w:r>
        <w:rPr>
          <w:lang w:val="en-US"/>
        </w:rPr>
        <w:t xml:space="preserve"> flounder populations from studied </w:t>
      </w:r>
      <w:r>
        <w:rPr>
          <w:lang w:val="en-GB"/>
        </w:rPr>
        <w:t>bays</w:t>
      </w:r>
      <w:del w:id="49" w:author="Петр Ершов" w:date="2022-08-26T11:17:00Z">
        <w:r>
          <w:rPr>
            <w:lang w:val="en-GB"/>
          </w:rPr>
          <w:delText xml:space="preserve"> </w:delText>
        </w:r>
      </w:del>
      <w:del w:id="50" w:author="Петр Ершов" w:date="2022-08-26T11:17:00Z">
        <w:r>
          <w:rPr>
            <w:lang w:val="en-US"/>
          </w:rPr>
          <w:delText>(Figure 3)</w:delText>
        </w:r>
      </w:del>
      <w:r>
        <w:rPr>
          <w:lang w:val="en-US"/>
        </w:rPr>
        <w:t xml:space="preserve">. </w:t>
      </w:r>
      <w:r>
        <w:rPr>
          <w:lang w:val="en-GB"/>
        </w:rPr>
        <w:t xml:space="preserve"> </w:t>
      </w:r>
      <w:r>
        <w:rPr>
          <w:strike/>
          <w:lang w:val="en-US"/>
        </w:rPr>
        <w:t xml:space="preserve"> </w:t>
      </w:r>
    </w:p>
    <w:p>
      <w:pPr>
        <w:pStyle w:val="14"/>
        <w:spacing w:line="360" w:lineRule="auto"/>
        <w:ind w:firstLine="0"/>
        <w:rPr>
          <w:lang w:val="en-GB"/>
        </w:rPr>
      </w:pPr>
    </w:p>
    <w:p>
      <w:pPr>
        <w:pStyle w:val="14"/>
        <w:spacing w:line="360" w:lineRule="auto"/>
        <w:ind w:firstLine="0"/>
        <w:rPr>
          <w:lang w:val="en-GB"/>
        </w:rPr>
      </w:pPr>
      <w:r>
        <w:rPr>
          <w:lang w:val="en-GB"/>
        </w:rPr>
        <w:t>For the sample</w:t>
      </w:r>
      <w:r>
        <w:rPr>
          <w:lang w:val="en-US"/>
        </w:rPr>
        <w:t xml:space="preserve"> from Onega Bay</w:t>
      </w:r>
      <w:r>
        <w:rPr>
          <w:lang w:val="en-GB"/>
        </w:rPr>
        <w:t xml:space="preserve">, the </w:t>
      </w:r>
      <w:r>
        <w:rPr>
          <w:lang w:val="en-US"/>
        </w:rPr>
        <w:t xml:space="preserve">association </w:t>
      </w:r>
      <w:r>
        <w:rPr>
          <w:lang w:val="en-GB"/>
        </w:rPr>
        <w:t xml:space="preserve">between the frequency of reversed individuals </w:t>
      </w:r>
      <w:r>
        <w:rPr>
          <w:lang w:val="en-US"/>
        </w:rPr>
        <w:t xml:space="preserve">with </w:t>
      </w:r>
      <w:r>
        <w:rPr>
          <w:lang w:val="en-GB"/>
        </w:rPr>
        <w:t xml:space="preserve">age and sex of flounder was analysed using logistic model М2. The parameters of the model are given in Table 2. </w:t>
      </w:r>
      <w:r>
        <w:rPr>
          <w:lang w:val="en-US"/>
        </w:rPr>
        <w:t xml:space="preserve">These data show that there were no statistically significant effect of sex and age of fish on the proportion of morphs and significant interaction between those predictors. </w:t>
      </w:r>
      <w:r>
        <w:rPr>
          <w:lang w:val="en-GB"/>
        </w:rPr>
        <w:t xml:space="preserve"> The frequency of left-sided individuals did not differ among fishes of various age groups (2-13 years) and between males and females.</w:t>
      </w:r>
    </w:p>
    <w:p>
      <w:pPr>
        <w:spacing w:before="100" w:beforeAutospacing="1" w:after="100" w:afterAutospacing="1" w:line="360" w:lineRule="auto"/>
        <w:rPr>
          <w:b/>
          <w:lang w:val="en-GB"/>
        </w:rPr>
      </w:pPr>
      <w:r>
        <w:rPr>
          <w:b/>
          <w:lang w:val="en-GB"/>
        </w:rPr>
        <w:t>DISCUSSION</w:t>
      </w:r>
    </w:p>
    <w:p>
      <w:pPr>
        <w:spacing w:before="100" w:beforeAutospacing="1" w:after="100" w:afterAutospacing="1" w:line="360" w:lineRule="auto"/>
        <w:rPr>
          <w:lang w:val="en-GB"/>
        </w:rPr>
      </w:pPr>
      <w:r>
        <w:rPr>
          <w:lang w:val="en-GB"/>
        </w:rPr>
        <w:t xml:space="preserve">The results of this study confirm earlier observations (Semushin et al. 2015) that European flounders caught in the White Sea show no sex differences in the frequencies of left-sided individuals. Fornbacke et al. (2002) have also found no </w:t>
      </w:r>
      <w:r>
        <w:rPr>
          <w:lang w:val="en-US"/>
        </w:rPr>
        <w:t xml:space="preserve">differences between sexes in proportion of morphs in adult European flounders off the coast of Sweden </w:t>
      </w:r>
      <w:r>
        <w:rPr>
          <w:lang w:val="en-GB"/>
        </w:rPr>
        <w:t>(Skagerrak Strait and the Baltic Sea) and similar results have been reported for the starry flounders of different sex (Townsend 1937; Orcut 1950). Our results, however, unlike these previously published observations, have also demonstrated a relative similarity of frequencies of reversed males and females within all size-age classes that had been included in the analysis.</w:t>
      </w:r>
    </w:p>
    <w:p>
      <w:pPr>
        <w:spacing w:before="100" w:beforeAutospacing="1" w:after="100" w:afterAutospacing="1" w:line="360" w:lineRule="auto"/>
        <w:rPr>
          <w:lang w:val="en-GB"/>
        </w:rPr>
      </w:pPr>
      <w:r>
        <w:rPr>
          <w:lang w:val="en-GB"/>
        </w:rPr>
        <w:t>The studies reporting changes in frequency of left- and right-sided individuals in the populations of the European flounder in connection with their size-age parameters are scarce and contradictory. In the flounders from coastal regions of Great Britain (Plymouth) and Germany, the proportion of left-sided fish in younger size-age classes was somewhat higher than among larger sexually mature individuals (Duncker 1900). In author’s opinion, this indicates that mortality of left-sided flounders increases with age compared to the right-sided individuals. The statistical analysis of Duncker’s (1900) observations for the flounders from coastal waters of Germany conducted by Hubbs and Hubbs (1945) has revealed statistical significance of the observed differences between small and large flounders (χ2=8.18, p&lt;0.05). In this respect, it should be noted that Duncker’s (1900</w:t>
      </w:r>
      <w:del w:id="51" w:author="Петр Ершов" w:date="2022-08-26T11:23:00Z">
        <w:r>
          <w:rPr>
            <w:lang w:val="en-GB"/>
          </w:rPr>
          <w:delText>, с.339-340</w:delText>
        </w:r>
      </w:del>
      <w:r>
        <w:rPr>
          <w:lang w:val="en-GB"/>
        </w:rPr>
        <w:t>) calculations relied in part on mixed material, which could have affected his results because of high population variation in this trait. In particular, the information on proportions of reversed individuals in sexually mature flounders from the coast of Germany ha</w:t>
      </w:r>
      <w:r>
        <w:rPr>
          <w:lang w:val="en-US"/>
        </w:rPr>
        <w:t>s</w:t>
      </w:r>
      <w:r>
        <w:rPr>
          <w:lang w:val="en-GB"/>
        </w:rPr>
        <w:t xml:space="preserve"> been derived from the sample that combined flounders from the western part of the Baltic Sea and the mouth of the Elbe River (North Sea basin). Sych (1930) based her analysis on a small sample of flounders from the Barents Sea and also compared the frequencies of left-sided individuals in the combined younger (1-4 years) and older (5-8 years) age classes. The differences between these two groups proved to be small and statistically insignificant (our calculations; χ2=0.82, р&gt;0.05). Similar results reported by Sych (1930) for the White Sea flounders are not considered here, because they had been obtained from the material that combined samples from different bays. Fornbacke et al. (2002) have found that in the European flounders caught near the Swedish coast (Lysekil), the reversed individuals were significantly more common among the </w:t>
      </w:r>
      <w:r>
        <w:rPr>
          <w:lang w:val="en-US"/>
        </w:rPr>
        <w:t xml:space="preserve">fry </w:t>
      </w:r>
      <w:r>
        <w:rPr>
          <w:lang w:val="en-GB"/>
        </w:rPr>
        <w:t>than among the adult fish (34% and 27%, respectively). The authors argued that a decrease in the proportion of left-sided individuals in adult fish is associated with higher mortality of the reversed flounders</w:t>
      </w:r>
      <w:r>
        <w:rPr>
          <w:lang w:val="en-US"/>
        </w:rPr>
        <w:t xml:space="preserve"> as compared with the right-sided individuals. </w:t>
      </w:r>
      <w:r>
        <w:rPr>
          <w:lang w:val="en-GB"/>
        </w:rPr>
        <w:t xml:space="preserve">Our results have </w:t>
      </w:r>
      <w:r>
        <w:rPr>
          <w:lang w:val="en-US"/>
        </w:rPr>
        <w:t>shown</w:t>
      </w:r>
      <w:r>
        <w:rPr>
          <w:lang w:val="en-GB"/>
        </w:rPr>
        <w:t xml:space="preserve"> that the frequency of left-sided individuals was not connected with size and age of fishes. These data were </w:t>
      </w:r>
      <w:r>
        <w:rPr>
          <w:lang w:val="en-US"/>
        </w:rPr>
        <w:t>received</w:t>
      </w:r>
      <w:r>
        <w:rPr>
          <w:lang w:val="en-GB"/>
        </w:rPr>
        <w:t xml:space="preserve"> by comparison of flounders in the size range of 5.1-48.3 cm and age of 2-13 years in local populations of the White Sea basin. It should be noted that the rates of growth for the left- and right-sided individuals were similar in both males and females. Fingerlings </w:t>
      </w:r>
      <w:r>
        <w:rPr>
          <w:lang w:val="en-US"/>
        </w:rPr>
        <w:t xml:space="preserve">and yearlings </w:t>
      </w:r>
      <w:r>
        <w:rPr>
          <w:lang w:val="en-GB"/>
        </w:rPr>
        <w:t>were absent from the material included in our analysis, because no special collection was made at the sites that they inhabit.</w:t>
      </w:r>
    </w:p>
    <w:p>
      <w:pPr>
        <w:spacing w:before="100" w:beforeAutospacing="1" w:after="100" w:afterAutospacing="1" w:line="360" w:lineRule="auto"/>
        <w:rPr>
          <w:lang w:val="en-GB"/>
        </w:rPr>
      </w:pPr>
      <w:r>
        <w:rPr>
          <w:lang w:val="en-GB"/>
        </w:rPr>
        <w:t xml:space="preserve">The literature also contains information on frequency of left-sided individuals among the fish of different size/age for the starry flounder </w:t>
      </w:r>
      <w:r>
        <w:rPr>
          <w:i/>
          <w:lang w:val="en-GB"/>
        </w:rPr>
        <w:t>P. stellatus</w:t>
      </w:r>
      <w:r>
        <w:rPr>
          <w:lang w:val="en-GB"/>
        </w:rPr>
        <w:t xml:space="preserve">, a species closely related to the European flounder inhabiting coastal waters in the northern part of the Pacific Ocean. Hubbs and Hubbs (1945) have provided evidence for decreased survival of reversed individuals in flounders living near the Vancouver Island (British Columbia). According to their extensive observations, the proportion of the reversed morph in </w:t>
      </w:r>
      <w:r>
        <w:rPr>
          <w:lang w:val="en-US"/>
        </w:rPr>
        <w:t>“largely young fish”</w:t>
      </w:r>
      <w:r>
        <w:rPr>
          <w:lang w:val="en-GB"/>
        </w:rPr>
        <w:t xml:space="preserve"> caught near San Juan Islands, was significantly different from that in adult fish from Boundary Bay (52.2% and 48.4%, respectively). By contrast, the comparison of juvenile “</w:t>
      </w:r>
      <w:r>
        <w:rPr>
          <w:lang w:val="en-US"/>
        </w:rPr>
        <w:t>largely young fish”</w:t>
      </w:r>
      <w:r>
        <w:rPr>
          <w:lang w:val="en-GB"/>
        </w:rPr>
        <w:t xml:space="preserve"> and adult individuals of flounders captured in the same area (Boundary Bay) did not reveal any differences between them in the proportions of left- and right-sided fish (Hubbs and Hubbs 1945). The authors suggested that the observed differences can be caused by interannual and seasonal variation in morph frequencies in the population. Orcut (1950) reported data on the proportion of left-sided individuals</w:t>
      </w:r>
      <w:r>
        <w:rPr>
          <w:lang w:val="en-US"/>
        </w:rPr>
        <w:t xml:space="preserve"> among the</w:t>
      </w:r>
      <w:r>
        <w:rPr>
          <w:lang w:val="en-GB"/>
        </w:rPr>
        <w:t xml:space="preserve"> flounders of 3 age classes (0+; 1+; 2+ and older) from Monterey Bay (California). Statistically significant differences in frequency of reversed fish in these groups have been shown to occur only between fingerlings (0+) and yearlings (our calculations; χ2=5.12, р&lt;0.05), with the latter showing higher frequencies. The largest/oldest individuals (&gt;2+) in this study did not differ from small/young ones (0+ and 1+) in morph proportions. In the samples of adult flounders of commercial size (</w:t>
      </w:r>
      <w:r>
        <w:rPr>
          <w:i/>
          <w:lang w:val="en-GB"/>
        </w:rPr>
        <w:t>SL</w:t>
      </w:r>
      <w:r>
        <w:rPr>
          <w:lang w:val="en-GB"/>
        </w:rPr>
        <w:t>&gt;31 cm) caught off the shores of British Columbia, the proportion of left- and right-sided fish was the same in the size classes studied (</w:t>
      </w:r>
      <w:r>
        <w:rPr>
          <w:i/>
          <w:lang w:val="en-GB"/>
        </w:rPr>
        <w:t>SL</w:t>
      </w:r>
      <w:r>
        <w:rPr>
          <w:lang w:val="en-GB"/>
        </w:rPr>
        <w:t>=32-68 cm) (Forrester</w:t>
      </w:r>
      <w:r>
        <w:rPr>
          <w:lang w:val="en-US"/>
        </w:rPr>
        <w:t xml:space="preserve"> </w:t>
      </w:r>
      <w:r>
        <w:rPr>
          <w:lang w:val="en-GB"/>
        </w:rPr>
        <w:t xml:space="preserve">1969). This has led the author to the conclusion that the two morphs did not differ in survival rates. Bergstrom (2007), who </w:t>
      </w:r>
      <w:r>
        <w:rPr>
          <w:lang w:val="en-US"/>
        </w:rPr>
        <w:t xml:space="preserve">used </w:t>
      </w:r>
      <w:r>
        <w:rPr>
          <w:lang w:val="en-GB"/>
        </w:rPr>
        <w:t xml:space="preserve">small samples of flounders from the same region </w:t>
      </w:r>
      <w:r>
        <w:rPr>
          <w:lang w:val="en-US"/>
        </w:rPr>
        <w:t>to compare</w:t>
      </w:r>
      <w:r>
        <w:rPr>
          <w:lang w:val="en-GB"/>
        </w:rPr>
        <w:t xml:space="preserve"> two </w:t>
      </w:r>
      <w:r>
        <w:rPr>
          <w:lang w:val="en-US"/>
        </w:rPr>
        <w:t>size</w:t>
      </w:r>
      <w:r>
        <w:rPr>
          <w:lang w:val="en-GB"/>
        </w:rPr>
        <w:t xml:space="preserve"> </w:t>
      </w:r>
      <w:r>
        <w:rPr>
          <w:lang w:val="en-US"/>
        </w:rPr>
        <w:t>classes</w:t>
      </w:r>
      <w:r>
        <w:rPr>
          <w:lang w:val="en-GB"/>
        </w:rPr>
        <w:t xml:space="preserve"> </w:t>
      </w:r>
      <w:r>
        <w:rPr>
          <w:lang w:val="en-US"/>
        </w:rPr>
        <w:t>of</w:t>
      </w:r>
      <w:r>
        <w:rPr>
          <w:lang w:val="en-GB"/>
        </w:rPr>
        <w:t xml:space="preserve"> </w:t>
      </w:r>
      <w:r>
        <w:rPr>
          <w:lang w:val="en-US"/>
        </w:rPr>
        <w:t>flounders</w:t>
      </w:r>
      <w:r>
        <w:rPr>
          <w:lang w:val="en-GB"/>
        </w:rPr>
        <w:t xml:space="preserve"> (</w:t>
      </w:r>
      <w:r>
        <w:rPr>
          <w:i/>
          <w:lang w:val="en-GB"/>
        </w:rPr>
        <w:t>SL</w:t>
      </w:r>
      <w:r>
        <w:rPr>
          <w:lang w:val="en-GB"/>
        </w:rPr>
        <w:t xml:space="preserve">&lt;20 cm and </w:t>
      </w:r>
      <w:r>
        <w:rPr>
          <w:i/>
          <w:lang w:val="en-GB"/>
        </w:rPr>
        <w:t>SL</w:t>
      </w:r>
      <w:r>
        <w:rPr>
          <w:lang w:val="en-GB"/>
        </w:rPr>
        <w:t>&gt;20 cm)</w:t>
      </w:r>
      <w:r>
        <w:rPr>
          <w:lang w:val="en-US"/>
        </w:rPr>
        <w:t>, also concluded that younger and older size classes are similar in proportion of left-sided individuals</w:t>
      </w:r>
      <w:r>
        <w:rPr>
          <w:lang w:val="en-GB"/>
        </w:rPr>
        <w:t xml:space="preserve">. </w:t>
      </w:r>
      <w:r>
        <w:rPr>
          <w:shd w:val="clear" w:color="auto" w:fill="FFFFFF"/>
          <w:lang w:val="en-US"/>
        </w:rPr>
        <w:t xml:space="preserve">However, only small samples have been used and thus some size groups of fishes were absent in both studies. </w:t>
      </w:r>
      <w:r>
        <w:rPr>
          <w:lang w:val="en-GB"/>
        </w:rPr>
        <w:t xml:space="preserve">The proportions of the left- and right-sided fish in small samples are known to </w:t>
      </w:r>
      <w:r>
        <w:rPr>
          <w:lang w:val="en-US"/>
        </w:rPr>
        <w:t>vary widely</w:t>
      </w:r>
      <w:r>
        <w:rPr>
          <w:lang w:val="en-GB"/>
        </w:rPr>
        <w:t xml:space="preserve">. For instance, the proportion of left-sided fish in 2 samples of </w:t>
      </w:r>
      <w:r>
        <w:rPr>
          <w:i/>
          <w:lang w:val="en-GB"/>
        </w:rPr>
        <w:t>P. flesus</w:t>
      </w:r>
      <w:r>
        <w:rPr>
          <w:lang w:val="en-GB"/>
        </w:rPr>
        <w:t xml:space="preserve"> (n=200 individuals in each) taken from the same region of the Estonian coast (Mandjala, Saaremaa, Baltic Sea) in June and September 1942, was 22.5 and 35%, respectively (Mikelsaar 1958).</w:t>
      </w:r>
    </w:p>
    <w:p>
      <w:pPr>
        <w:spacing w:line="360" w:lineRule="auto"/>
        <w:jc w:val="both"/>
        <w:rPr>
          <w:lang w:val="en-GB"/>
        </w:rPr>
      </w:pPr>
    </w:p>
    <w:p>
      <w:pPr>
        <w:spacing w:line="360" w:lineRule="auto"/>
        <w:jc w:val="both"/>
        <w:rPr>
          <w:lang w:val="en-GB"/>
        </w:rPr>
      </w:pPr>
      <w:r>
        <w:rPr>
          <w:lang w:val="en-GB"/>
        </w:rPr>
        <w:t xml:space="preserve">The following </w:t>
      </w:r>
      <w:r>
        <w:rPr>
          <w:lang w:val="en-US"/>
        </w:rPr>
        <w:t>important</w:t>
      </w:r>
      <w:r>
        <w:rPr>
          <w:lang w:val="en-GB"/>
        </w:rPr>
        <w:t xml:space="preserve"> </w:t>
      </w:r>
      <w:r>
        <w:rPr>
          <w:lang w:val="en-US"/>
        </w:rPr>
        <w:t>points</w:t>
      </w:r>
      <w:r>
        <w:rPr>
          <w:lang w:val="en-GB"/>
        </w:rPr>
        <w:t xml:space="preserve"> </w:t>
      </w:r>
      <w:r>
        <w:rPr>
          <w:lang w:val="en-US"/>
        </w:rPr>
        <w:t>can</w:t>
      </w:r>
      <w:r>
        <w:rPr>
          <w:lang w:val="en-GB"/>
        </w:rPr>
        <w:t xml:space="preserve"> </w:t>
      </w:r>
      <w:r>
        <w:rPr>
          <w:lang w:val="en-US"/>
        </w:rPr>
        <w:t>be</w:t>
      </w:r>
      <w:r>
        <w:rPr>
          <w:lang w:val="en-GB"/>
        </w:rPr>
        <w:t xml:space="preserve"> </w:t>
      </w:r>
      <w:r>
        <w:rPr>
          <w:lang w:val="en-US"/>
        </w:rPr>
        <w:t>drawn</w:t>
      </w:r>
      <w:r>
        <w:rPr>
          <w:lang w:val="en-GB"/>
        </w:rPr>
        <w:t xml:space="preserve"> </w:t>
      </w:r>
      <w:r>
        <w:rPr>
          <w:lang w:val="en-US"/>
        </w:rPr>
        <w:t>from</w:t>
      </w:r>
      <w:r>
        <w:rPr>
          <w:lang w:val="en-GB"/>
        </w:rPr>
        <w:t xml:space="preserve"> </w:t>
      </w:r>
      <w:r>
        <w:rPr>
          <w:lang w:val="en-US"/>
        </w:rPr>
        <w:t>the</w:t>
      </w:r>
      <w:r>
        <w:rPr>
          <w:lang w:val="en-GB"/>
        </w:rPr>
        <w:t xml:space="preserve"> </w:t>
      </w:r>
      <w:r>
        <w:rPr>
          <w:lang w:val="en-US"/>
        </w:rPr>
        <w:t>above</w:t>
      </w:r>
      <w:r>
        <w:rPr>
          <w:lang w:val="en-GB"/>
        </w:rPr>
        <w:t xml:space="preserve"> </w:t>
      </w:r>
      <w:r>
        <w:rPr>
          <w:lang w:val="en-US"/>
        </w:rPr>
        <w:t>discussion</w:t>
      </w:r>
      <w:r>
        <w:rPr>
          <w:lang w:val="en-GB"/>
        </w:rPr>
        <w:t xml:space="preserve"> </w:t>
      </w:r>
      <w:r>
        <w:rPr>
          <w:lang w:val="en-US"/>
        </w:rPr>
        <w:t>of the studies of the European and starry flounders</w:t>
      </w:r>
      <w:r>
        <w:rPr>
          <w:lang w:val="en-GB"/>
        </w:rPr>
        <w:t>. First, in most publications the trend was analysed based on comparison of only 2 portions of one sample consisting essentially of smaller and larger fish, rather than on the whole size range of the collected fish. Such analysis can distort possible changes in morph proportions occurring as the fish grows due to the subjective approach to identifying size classes under comparison. Second, the published data were contradictory: they demonstrated both increase and decrease in the proportion of the non-typical morph in larger/older individuals. It is possible that pressure of selective forces on survival of fry and adult fish of different morphs can be different in local populations because of the differences in biot</w:t>
      </w:r>
      <w:del w:id="52" w:author="Петр Ершов" w:date="2022-08-26T11:25:00Z">
        <w:r>
          <w:rPr>
            <w:lang w:val="en-GB"/>
          </w:rPr>
          <w:delText>op</w:delText>
        </w:r>
      </w:del>
      <w:r>
        <w:rPr>
          <w:lang w:val="en-GB"/>
        </w:rPr>
        <w:t xml:space="preserve">ic conditions of their habitats in various regions of the distribution range. As a result, the survival of left- and right-sided individuals at different stages of their life cycle can also differ in different populations of </w:t>
      </w:r>
      <w:r>
        <w:rPr>
          <w:i/>
          <w:lang w:val="en-GB"/>
        </w:rPr>
        <w:t>P. flesus</w:t>
      </w:r>
      <w:r>
        <w:rPr>
          <w:lang w:val="en-GB"/>
        </w:rPr>
        <w:t xml:space="preserve"> and </w:t>
      </w:r>
      <w:r>
        <w:rPr>
          <w:i/>
          <w:lang w:val="en-GB"/>
        </w:rPr>
        <w:t>P. stellatus</w:t>
      </w:r>
      <w:r>
        <w:rPr>
          <w:lang w:val="en-GB"/>
        </w:rPr>
        <w:t xml:space="preserve">. </w:t>
      </w:r>
    </w:p>
    <w:p>
      <w:pPr>
        <w:spacing w:line="360" w:lineRule="auto"/>
        <w:jc w:val="both"/>
        <w:rPr>
          <w:lang w:val="en-GB"/>
        </w:rPr>
      </w:pPr>
    </w:p>
    <w:p>
      <w:pPr>
        <w:spacing w:line="360" w:lineRule="auto"/>
        <w:jc w:val="both"/>
        <w:rPr>
          <w:ins w:id="53" w:author="Петр Ершов" w:date="2022-08-26T11:47:00Z"/>
          <w:del w:id="54" w:author="google1599737165" w:date="2022-09-01T18:16:40Z"/>
          <w:lang w:val="en-US"/>
          <w:rPrChange w:id="55" w:author="Петр Ершов" w:date="2022-08-31T09:55:00Z">
            <w:rPr>
              <w:ins w:id="56" w:author="Петр Ершов" w:date="2022-08-26T11:47:00Z"/>
              <w:del w:id="57" w:author="google1599737165" w:date="2022-09-01T18:16:40Z"/>
            </w:rPr>
          </w:rPrChange>
        </w:rPr>
      </w:pPr>
      <w:del w:id="58" w:author="google1599737165" w:date="2022-09-01T18:16:40Z">
        <w:r>
          <w:rPr>
            <w:lang w:val="en-GB"/>
          </w:rPr>
          <w:delText>The</w:delText>
        </w:r>
      </w:del>
      <w:del w:id="59" w:author="google1599737165" w:date="2022-09-01T18:16:40Z">
        <w:r>
          <w:rPr>
            <w:lang w:val="en-US"/>
          </w:rPr>
          <w:delText xml:space="preserve"> </w:delText>
        </w:r>
      </w:del>
      <w:del w:id="60" w:author="google1599737165" w:date="2022-09-01T18:16:40Z">
        <w:r>
          <w:rPr>
            <w:lang w:val="en-GB"/>
          </w:rPr>
          <w:delText>question</w:delText>
        </w:r>
      </w:del>
      <w:del w:id="61" w:author="google1599737165" w:date="2022-09-01T18:16:40Z">
        <w:r>
          <w:rPr>
            <w:lang w:val="en-US"/>
          </w:rPr>
          <w:delText xml:space="preserve"> </w:delText>
        </w:r>
      </w:del>
      <w:del w:id="62" w:author="google1599737165" w:date="2022-09-01T18:16:40Z">
        <w:r>
          <w:rPr>
            <w:lang w:val="en-GB"/>
          </w:rPr>
          <w:delText>about</w:delText>
        </w:r>
      </w:del>
      <w:del w:id="63" w:author="google1599737165" w:date="2022-09-01T18:16:40Z">
        <w:r>
          <w:rPr>
            <w:lang w:val="en-US"/>
          </w:rPr>
          <w:delText xml:space="preserve"> </w:delText>
        </w:r>
      </w:del>
      <w:del w:id="64" w:author="google1599737165" w:date="2022-09-01T18:16:40Z">
        <w:r>
          <w:rPr>
            <w:lang w:val="en-GB"/>
          </w:rPr>
          <w:delText>possible</w:delText>
        </w:r>
      </w:del>
      <w:del w:id="65" w:author="google1599737165" w:date="2022-09-01T18:16:40Z">
        <w:r>
          <w:rPr>
            <w:lang w:val="en-US"/>
          </w:rPr>
          <w:delText xml:space="preserve"> </w:delText>
        </w:r>
      </w:del>
      <w:del w:id="66" w:author="google1599737165" w:date="2022-09-01T18:16:40Z">
        <w:r>
          <w:rPr>
            <w:lang w:val="en-GB"/>
          </w:rPr>
          <w:delText>causes</w:delText>
        </w:r>
      </w:del>
      <w:del w:id="67" w:author="google1599737165" w:date="2022-09-01T18:16:40Z">
        <w:r>
          <w:rPr>
            <w:lang w:val="en-US"/>
          </w:rPr>
          <w:delText xml:space="preserve"> </w:delText>
        </w:r>
      </w:del>
      <w:del w:id="68" w:author="google1599737165" w:date="2022-09-01T18:16:40Z">
        <w:r>
          <w:rPr>
            <w:lang w:val="en-GB"/>
          </w:rPr>
          <w:delText>of</w:delText>
        </w:r>
      </w:del>
      <w:del w:id="69" w:author="google1599737165" w:date="2022-09-01T18:16:40Z">
        <w:r>
          <w:rPr>
            <w:lang w:val="en-US"/>
          </w:rPr>
          <w:delText xml:space="preserve"> high interpopulational variation of proportion of two phenotypes </w:delText>
        </w:r>
      </w:del>
      <w:del w:id="70" w:author="google1599737165" w:date="2022-09-01T18:16:40Z">
        <w:r>
          <w:rPr>
            <w:lang w:val="en-GB"/>
          </w:rPr>
          <w:delText>remains</w:delText>
        </w:r>
      </w:del>
      <w:del w:id="71" w:author="google1599737165" w:date="2022-09-01T18:16:40Z">
        <w:r>
          <w:rPr>
            <w:lang w:val="en-US"/>
          </w:rPr>
          <w:delText xml:space="preserve"> </w:delText>
        </w:r>
      </w:del>
      <w:del w:id="72" w:author="google1599737165" w:date="2022-09-01T18:16:40Z">
        <w:r>
          <w:rPr>
            <w:lang w:val="en-GB"/>
          </w:rPr>
          <w:delText>unanswered</w:delText>
        </w:r>
      </w:del>
      <w:del w:id="73" w:author="google1599737165" w:date="2022-09-01T18:16:40Z">
        <w:r>
          <w:rPr>
            <w:lang w:val="en-US"/>
          </w:rPr>
          <w:delText xml:space="preserve"> </w:delText>
        </w:r>
      </w:del>
      <w:del w:id="74" w:author="google1599737165" w:date="2022-09-01T18:16:40Z">
        <w:r>
          <w:rPr>
            <w:lang w:val="en-GB"/>
          </w:rPr>
          <w:delText>and</w:delText>
        </w:r>
      </w:del>
      <w:del w:id="75" w:author="google1599737165" w:date="2022-09-01T18:16:40Z">
        <w:r>
          <w:rPr>
            <w:lang w:val="en-US"/>
          </w:rPr>
          <w:delText xml:space="preserve"> </w:delText>
        </w:r>
      </w:del>
      <w:del w:id="76" w:author="google1599737165" w:date="2022-09-01T18:16:40Z">
        <w:r>
          <w:rPr>
            <w:lang w:val="en-GB"/>
          </w:rPr>
          <w:delText>still</w:delText>
        </w:r>
      </w:del>
      <w:del w:id="77" w:author="google1599737165" w:date="2022-09-01T18:16:40Z">
        <w:r>
          <w:rPr>
            <w:lang w:val="en-US"/>
          </w:rPr>
          <w:delText xml:space="preserve"> </w:delText>
        </w:r>
      </w:del>
      <w:del w:id="78" w:author="google1599737165" w:date="2022-09-01T18:16:40Z">
        <w:r>
          <w:rPr>
            <w:lang w:val="en-GB"/>
          </w:rPr>
          <w:delText>require</w:delText>
        </w:r>
      </w:del>
      <w:del w:id="79" w:author="google1599737165" w:date="2022-09-01T18:16:40Z">
        <w:r>
          <w:rPr>
            <w:lang w:val="en-US"/>
          </w:rPr>
          <w:delText xml:space="preserve"> </w:delText>
        </w:r>
      </w:del>
      <w:del w:id="80" w:author="google1599737165" w:date="2022-09-01T18:16:40Z">
        <w:r>
          <w:rPr>
            <w:lang w:val="en-GB"/>
          </w:rPr>
          <w:delText>additional</w:delText>
        </w:r>
      </w:del>
      <w:del w:id="81" w:author="google1599737165" w:date="2022-09-01T18:16:40Z">
        <w:r>
          <w:rPr>
            <w:lang w:val="en-US"/>
          </w:rPr>
          <w:delText xml:space="preserve"> </w:delText>
        </w:r>
      </w:del>
      <w:del w:id="82" w:author="google1599737165" w:date="2022-09-01T18:16:40Z">
        <w:r>
          <w:rPr>
            <w:lang w:val="en-GB"/>
          </w:rPr>
          <w:delText xml:space="preserve">investigations. It can be supposed that the individuals of the non-typical, left-sided, morph in some regions of the White Sea (Dvina Bay and Mezen Bay) show increased mortality during their first years (0+ and, possibly, 1+) of life, so their proportion in the populations is low. Such selective mortality in younger age classes can occur, in particular, because of the intra- or interspecific competition for food resources between young fish of the European flounder, Arctic flounder </w:delText>
        </w:r>
      </w:del>
      <w:del w:id="83" w:author="google1599737165" w:date="2022-09-01T18:16:40Z">
        <w:r>
          <w:rPr>
            <w:i/>
            <w:lang w:val="en-GB"/>
          </w:rPr>
          <w:delText>Liopsetta glacialis</w:delText>
        </w:r>
      </w:del>
      <w:del w:id="84" w:author="google1599737165" w:date="2022-09-01T18:16:40Z">
        <w:r>
          <w:rPr>
            <w:lang w:val="en-GB"/>
          </w:rPr>
          <w:delText xml:space="preserve"> and dab </w:delText>
        </w:r>
      </w:del>
      <w:del w:id="85" w:author="google1599737165" w:date="2022-09-01T18:16:40Z">
        <w:r>
          <w:rPr>
            <w:i/>
            <w:lang w:val="en-GB"/>
          </w:rPr>
          <w:delText>Limanda limanda</w:delText>
        </w:r>
      </w:del>
      <w:del w:id="86" w:author="google1599737165" w:date="2022-09-01T18:16:40Z">
        <w:r>
          <w:rPr>
            <w:lang w:val="en-GB"/>
          </w:rPr>
          <w:delText xml:space="preserve">, which share common habitats in inlets and shallow coastal areas of the White Sea (Shatunovsky and Chestnova 1970; Semushin and Sherstkov 2012). </w:delText>
        </w:r>
      </w:del>
    </w:p>
    <w:p>
      <w:pPr>
        <w:spacing w:line="360" w:lineRule="auto"/>
        <w:jc w:val="both"/>
        <w:rPr>
          <w:ins w:id="87" w:author="google1599737165" w:date="2022-09-01T18:23:33Z"/>
          <w:lang w:val="en-GB"/>
        </w:rPr>
      </w:pPr>
      <w:r>
        <w:rPr>
          <w:lang w:val="en-GB"/>
        </w:rPr>
        <w:t>Detected absence of changes in morph proportion with increasing age</w:t>
      </w:r>
      <w:r>
        <w:rPr>
          <w:lang w:val="en-US"/>
        </w:rPr>
        <w:t xml:space="preserve"> (2-13 years)</w:t>
      </w:r>
      <w:r>
        <w:rPr>
          <w:lang w:val="en-GB"/>
        </w:rPr>
        <w:t xml:space="preserve"> in the White Sea flounders might be related to the similarity of mortality between the left-sided and right-sided individuals of the same age. </w:t>
      </w:r>
    </w:p>
    <w:p>
      <w:pPr>
        <w:spacing w:line="360" w:lineRule="auto"/>
        <w:jc w:val="both"/>
        <w:rPr>
          <w:ins w:id="88" w:author="google1599737165" w:date="2022-09-01T18:23:34Z"/>
          <w:lang w:val="en-GB"/>
        </w:rPr>
      </w:pPr>
    </w:p>
    <w:p>
      <w:pPr>
        <w:spacing w:line="360" w:lineRule="auto"/>
        <w:jc w:val="both"/>
        <w:rPr>
          <w:ins w:id="89" w:author="google1599737165" w:date="2022-09-01T18:23:34Z"/>
          <w:lang w:val="en-GB"/>
        </w:rPr>
      </w:pPr>
      <w:ins w:id="90" w:author="google1599737165" w:date="2022-09-01T18:23:36Z">
        <w:r>
          <w:rPr>
            <w:rFonts w:hint="default"/>
            <w:lang w:val="en-GB"/>
          </w:rPr>
          <w:t>The absence of statistical</w:t>
        </w:r>
      </w:ins>
      <w:ins w:id="91" w:author="google1599737165" w:date="2022-09-01T18:23:51Z">
        <w:r>
          <w:rPr>
            <w:rFonts w:hint="default"/>
            <w:lang w:val="en-US"/>
          </w:rPr>
          <w:t>l</w:t>
        </w:r>
      </w:ins>
      <w:ins w:id="92" w:author="google1599737165" w:date="2022-09-01T18:23:36Z">
        <w:r>
          <w:rPr>
            <w:rFonts w:hint="default"/>
            <w:lang w:val="en-GB"/>
          </w:rPr>
          <w:t xml:space="preserve">y significant association between morph proportion and age (2-13 years) </w:t>
        </w:r>
      </w:ins>
      <w:ins w:id="93" w:author="google1599737165" w:date="2022-09-01T18:24:15Z">
        <w:r>
          <w:rPr>
            <w:rFonts w:hint="default"/>
            <w:lang w:val="en-US"/>
          </w:rPr>
          <w:t>re</w:t>
        </w:r>
      </w:ins>
      <w:ins w:id="94" w:author="google1599737165" w:date="2022-09-01T18:24:16Z">
        <w:r>
          <w:rPr>
            <w:rFonts w:hint="default"/>
            <w:lang w:val="en-US"/>
          </w:rPr>
          <w:t>vea</w:t>
        </w:r>
      </w:ins>
      <w:ins w:id="95" w:author="google1599737165" w:date="2022-09-01T18:24:17Z">
        <w:r>
          <w:rPr>
            <w:rFonts w:hint="default"/>
            <w:lang w:val="en-US"/>
          </w:rPr>
          <w:t>l</w:t>
        </w:r>
      </w:ins>
      <w:ins w:id="96" w:author="google1599737165" w:date="2022-09-01T18:24:19Z">
        <w:r>
          <w:rPr>
            <w:rFonts w:hint="default"/>
            <w:lang w:val="en-US"/>
          </w:rPr>
          <w:t xml:space="preserve">ed </w:t>
        </w:r>
      </w:ins>
      <w:ins w:id="97" w:author="google1599737165" w:date="2022-09-01T18:23:36Z">
        <w:r>
          <w:rPr>
            <w:rFonts w:hint="default"/>
            <w:lang w:val="en-GB"/>
          </w:rPr>
          <w:t>in flounder</w:t>
        </w:r>
      </w:ins>
      <w:ins w:id="98" w:author="google1599737165" w:date="2022-09-01T18:24:37Z">
        <w:r>
          <w:rPr>
            <w:rFonts w:hint="default"/>
            <w:lang w:val="en-US"/>
          </w:rPr>
          <w:t xml:space="preserve"> </w:t>
        </w:r>
      </w:ins>
      <w:ins w:id="99" w:author="google1599737165" w:date="2022-09-01T18:24:38Z">
        <w:r>
          <w:rPr>
            <w:rFonts w:hint="default"/>
            <w:lang w:val="en-US"/>
          </w:rPr>
          <w:t>pop</w:t>
        </w:r>
      </w:ins>
      <w:ins w:id="100" w:author="google1599737165" w:date="2022-09-01T18:24:39Z">
        <w:r>
          <w:rPr>
            <w:rFonts w:hint="default"/>
            <w:lang w:val="en-US"/>
          </w:rPr>
          <w:t>ula</w:t>
        </w:r>
      </w:ins>
      <w:ins w:id="101" w:author="google1599737165" w:date="2022-09-01T18:24:40Z">
        <w:r>
          <w:rPr>
            <w:rFonts w:hint="default"/>
            <w:lang w:val="en-US"/>
          </w:rPr>
          <w:t>tion</w:t>
        </w:r>
      </w:ins>
      <w:ins w:id="102" w:author="google1599737165" w:date="2022-09-01T18:24:41Z">
        <w:r>
          <w:rPr>
            <w:rFonts w:hint="default"/>
            <w:lang w:val="en-US"/>
          </w:rPr>
          <w:t xml:space="preserve">s </w:t>
        </w:r>
      </w:ins>
      <w:ins w:id="103" w:author="google1599737165" w:date="2022-09-01T18:24:42Z">
        <w:r>
          <w:rPr>
            <w:rFonts w:hint="default"/>
            <w:lang w:val="en-US"/>
          </w:rPr>
          <w:t>i</w:t>
        </w:r>
      </w:ins>
      <w:ins w:id="104" w:author="google1599737165" w:date="2022-09-01T18:24:43Z">
        <w:r>
          <w:rPr>
            <w:rFonts w:hint="default"/>
            <w:lang w:val="en-US"/>
          </w:rPr>
          <w:t>n t</w:t>
        </w:r>
      </w:ins>
      <w:ins w:id="105" w:author="google1599737165" w:date="2022-09-01T18:24:44Z">
        <w:r>
          <w:rPr>
            <w:rFonts w:hint="default"/>
            <w:lang w:val="en-US"/>
          </w:rPr>
          <w:t xml:space="preserve">he </w:t>
        </w:r>
      </w:ins>
      <w:ins w:id="106" w:author="google1599737165" w:date="2022-09-01T18:24:45Z">
        <w:r>
          <w:rPr>
            <w:rFonts w:hint="default"/>
            <w:lang w:val="en-US"/>
          </w:rPr>
          <w:t>Whi</w:t>
        </w:r>
      </w:ins>
      <w:ins w:id="107" w:author="google1599737165" w:date="2022-09-01T18:24:46Z">
        <w:r>
          <w:rPr>
            <w:rFonts w:hint="default"/>
            <w:lang w:val="en-US"/>
          </w:rPr>
          <w:t xml:space="preserve">te </w:t>
        </w:r>
      </w:ins>
      <w:ins w:id="108" w:author="google1599737165" w:date="2022-09-01T18:24:47Z">
        <w:r>
          <w:rPr>
            <w:rFonts w:hint="default"/>
            <w:lang w:val="en-US"/>
          </w:rPr>
          <w:t>Se</w:t>
        </w:r>
      </w:ins>
      <w:ins w:id="109" w:author="google1599737165" w:date="2022-09-01T18:24:48Z">
        <w:r>
          <w:rPr>
            <w:rFonts w:hint="default"/>
            <w:lang w:val="en-US"/>
          </w:rPr>
          <w:t>a</w:t>
        </w:r>
      </w:ins>
      <w:ins w:id="110" w:author="google1599737165" w:date="2022-09-01T18:24:49Z">
        <w:r>
          <w:rPr>
            <w:rFonts w:hint="default"/>
            <w:lang w:val="en-US"/>
          </w:rPr>
          <w:t xml:space="preserve"> </w:t>
        </w:r>
      </w:ins>
      <w:ins w:id="111" w:author="google1599737165" w:date="2022-09-01T18:24:53Z">
        <w:r>
          <w:rPr>
            <w:rFonts w:hint="default"/>
            <w:lang w:val="en-US"/>
          </w:rPr>
          <w:t>in</w:t>
        </w:r>
      </w:ins>
      <w:ins w:id="112" w:author="google1599737165" w:date="2022-09-01T18:24:54Z">
        <w:r>
          <w:rPr>
            <w:rFonts w:hint="default"/>
            <w:lang w:val="en-US"/>
          </w:rPr>
          <w:t>ve</w:t>
        </w:r>
      </w:ins>
      <w:ins w:id="113" w:author="google1599737165" w:date="2022-09-01T18:24:55Z">
        <w:r>
          <w:rPr>
            <w:rFonts w:hint="default"/>
            <w:lang w:val="en-US"/>
          </w:rPr>
          <w:t>sti</w:t>
        </w:r>
      </w:ins>
      <w:ins w:id="114" w:author="google1599737165" w:date="2022-09-01T18:24:56Z">
        <w:r>
          <w:rPr>
            <w:rFonts w:hint="default"/>
            <w:lang w:val="en-US"/>
          </w:rPr>
          <w:t>gate</w:t>
        </w:r>
      </w:ins>
      <w:ins w:id="115" w:author="google1599737165" w:date="2022-09-01T18:24:57Z">
        <w:r>
          <w:rPr>
            <w:rFonts w:hint="default"/>
            <w:lang w:val="en-US"/>
          </w:rPr>
          <w:t xml:space="preserve">d </w:t>
        </w:r>
      </w:ins>
      <w:ins w:id="116" w:author="google1599737165" w:date="2022-09-01T18:23:36Z">
        <w:r>
          <w:rPr>
            <w:rFonts w:hint="default"/>
            <w:lang w:val="en-GB"/>
          </w:rPr>
          <w:t xml:space="preserve"> might be related to the similarity of mortality between the left-sided and right-sided individuals in all age cohorts.</w:t>
        </w:r>
      </w:ins>
    </w:p>
    <w:p>
      <w:pPr>
        <w:spacing w:line="360" w:lineRule="auto"/>
        <w:jc w:val="both"/>
        <w:rPr>
          <w:ins w:id="117" w:author="google1599737165" w:date="2022-09-01T18:23:34Z"/>
          <w:lang w:val="en-GB"/>
        </w:rPr>
      </w:pPr>
    </w:p>
    <w:p>
      <w:pPr>
        <w:spacing w:line="360" w:lineRule="auto"/>
        <w:jc w:val="both"/>
        <w:rPr>
          <w:lang w:val="en-GB"/>
        </w:rPr>
      </w:pPr>
      <w:r>
        <w:rPr>
          <w:lang w:val="en-US"/>
        </w:rPr>
        <w:t xml:space="preserve">In our opinion, it could be explained, for example, by the ecological peculiarities of the European flounder. </w:t>
      </w:r>
      <w:ins w:id="118" w:author="Петр Ершов" w:date="2022-08-31T11:26:00Z">
        <w:r>
          <w:rPr/>
          <w:t xml:space="preserve">Сеголетки и годовики речной камбалы </w:t>
        </w:r>
      </w:ins>
      <w:ins w:id="119" w:author="Петр Ершов" w:date="2022-08-31T10:13:00Z">
        <w:r>
          <w:rPr/>
          <w:t>обита</w:t>
        </w:r>
      </w:ins>
      <w:ins w:id="120" w:author="Петр Ершов" w:date="2022-08-31T11:27:00Z">
        <w:r>
          <w:rPr/>
          <w:t>ю</w:t>
        </w:r>
      </w:ins>
      <w:ins w:id="121" w:author="Петр Ершов" w:date="2022-08-31T10:13:00Z">
        <w:r>
          <w:rPr/>
          <w:t>т</w:t>
        </w:r>
      </w:ins>
      <w:ins w:id="122" w:author="Петр Ершов" w:date="2022-08-31T09:57:00Z">
        <w:r>
          <w:rPr/>
          <w:t xml:space="preserve"> </w:t>
        </w:r>
      </w:ins>
      <w:ins w:id="123" w:author="Петр Ершов" w:date="2022-08-31T11:27:00Z">
        <w:r>
          <w:rPr/>
          <w:t>совместно с други</w:t>
        </w:r>
      </w:ins>
      <w:ins w:id="124" w:author="Петр Ершов" w:date="2022-08-31T11:30:00Z">
        <w:r>
          <w:rPr/>
          <w:t>ми</w:t>
        </w:r>
      </w:ins>
      <w:ins w:id="125" w:author="Петр Ершов" w:date="2022-08-31T11:27:00Z">
        <w:r>
          <w:rPr/>
          <w:t xml:space="preserve"> вид</w:t>
        </w:r>
      </w:ins>
      <w:ins w:id="126" w:author="Петр Ершов" w:date="2022-08-31T11:31:00Z">
        <w:r>
          <w:rPr/>
          <w:t>ами</w:t>
        </w:r>
      </w:ins>
      <w:ins w:id="127" w:author="Петр Ершов" w:date="2022-08-31T11:27:00Z">
        <w:r>
          <w:rPr/>
          <w:t xml:space="preserve"> рыб в губах и </w:t>
        </w:r>
      </w:ins>
      <w:ins w:id="128" w:author="Петр Ершов" w:date="2022-08-31T09:57:00Z">
        <w:r>
          <w:rPr/>
          <w:t>на</w:t>
        </w:r>
      </w:ins>
      <w:ins w:id="129" w:author="Петр Ершов" w:date="2022-08-31T09:58:00Z">
        <w:r>
          <w:rPr/>
          <w:t xml:space="preserve"> мелководных</w:t>
        </w:r>
      </w:ins>
      <w:ins w:id="130" w:author="Петр Ершов" w:date="2022-08-31T09:57:00Z">
        <w:r>
          <w:rPr/>
          <w:t xml:space="preserve"> приустьевых пространствах</w:t>
        </w:r>
      </w:ins>
      <w:ins w:id="131" w:author="Петр Ершов" w:date="2022-08-31T10:19:00Z">
        <w:r>
          <w:rPr/>
          <w:t>, где</w:t>
        </w:r>
      </w:ins>
      <w:ins w:id="132" w:author="Петр Ершов" w:date="2022-09-01T17:16:00Z">
        <w:r>
          <w:rPr>
            <w:lang w:val="ru-RU"/>
            <w:rPrChange w:id="133" w:author="Петр Ершов" w:date="2022-09-01T17:16:00Z">
              <w:rPr>
                <w:lang w:val="en-US"/>
              </w:rPr>
            </w:rPrChange>
          </w:rPr>
          <w:t xml:space="preserve"> </w:t>
        </w:r>
      </w:ins>
      <w:ins w:id="134" w:author="Петр Ершов" w:date="2022-09-01T14:27:00Z">
        <w:r>
          <w:rPr/>
          <w:t xml:space="preserve">конкурируют между собой </w:t>
        </w:r>
      </w:ins>
      <w:ins w:id="135" w:author="Петр Ершов" w:date="2022-09-01T14:28:00Z">
        <w:r>
          <w:rPr/>
          <w:t xml:space="preserve">за </w:t>
        </w:r>
      </w:ins>
      <w:ins w:id="136" w:author="Петр Ершов" w:date="2022-09-01T14:30:00Z">
        <w:r>
          <w:rPr/>
          <w:t>пищевые ресурсы (</w:t>
        </w:r>
      </w:ins>
      <w:ins w:id="137" w:author="Петр Ершов" w:date="2022-09-01T14:29:00Z">
        <w:r>
          <w:rPr/>
          <w:t>доступные</w:t>
        </w:r>
      </w:ins>
      <w:ins w:id="138" w:author="Петр Ершов" w:date="2022-08-31T11:28:00Z">
        <w:r>
          <w:rPr/>
          <w:t xml:space="preserve"> бентосны</w:t>
        </w:r>
      </w:ins>
      <w:ins w:id="139" w:author="Петр Ершов" w:date="2022-09-01T14:29:00Z">
        <w:r>
          <w:rPr/>
          <w:t>е</w:t>
        </w:r>
      </w:ins>
      <w:ins w:id="140" w:author="Петр Ершов" w:date="2022-08-31T11:28:00Z">
        <w:r>
          <w:rPr/>
          <w:t xml:space="preserve"> </w:t>
        </w:r>
      </w:ins>
      <w:ins w:id="141" w:author="Петр Ершов" w:date="2022-08-31T11:32:00Z">
        <w:r>
          <w:rPr/>
          <w:t>организм</w:t>
        </w:r>
      </w:ins>
      <w:ins w:id="142" w:author="Петр Ершов" w:date="2022-09-01T14:29:00Z">
        <w:r>
          <w:rPr/>
          <w:t>ы</w:t>
        </w:r>
      </w:ins>
      <w:ins w:id="143" w:author="Петр Ершов" w:date="2022-09-01T14:30:00Z">
        <w:r>
          <w:rPr/>
          <w:t>)</w:t>
        </w:r>
      </w:ins>
      <w:ins w:id="144" w:author="Петр Ершов" w:date="2022-08-31T09:58:00Z">
        <w:r>
          <w:rPr/>
          <w:t xml:space="preserve">. </w:t>
        </w:r>
      </w:ins>
      <w:r>
        <w:rPr>
          <w:lang w:val="en-GB"/>
        </w:rPr>
        <w:t xml:space="preserve">The flounder depart from the shore </w:t>
      </w:r>
      <w:r>
        <w:rPr>
          <w:lang w:val="en-US"/>
        </w:rPr>
        <w:t xml:space="preserve">at the age of 2 years and later </w:t>
      </w:r>
      <w:r>
        <w:rPr>
          <w:lang w:val="en-GB"/>
        </w:rPr>
        <w:t xml:space="preserve">and then makes </w:t>
      </w:r>
      <w:r>
        <w:rPr>
          <w:highlight w:val="red"/>
          <w:lang w:val="en-GB"/>
          <w:rPrChange w:id="145" w:author="Петр Ершов" w:date="2022-08-26T11:58:00Z">
            <w:rPr>
              <w:lang w:val="en-GB"/>
            </w:rPr>
          </w:rPrChange>
        </w:rPr>
        <w:t>foraging forays</w:t>
      </w:r>
      <w:r>
        <w:rPr>
          <w:lang w:val="en-GB"/>
        </w:rPr>
        <w:t xml:space="preserve"> into extensive shallow areas in the open sea, which is confirmed by our several-year-long observations and trawl catches in different parts of the White Sea. Changes in foraging locations, in addition to broadening of the dietary spectrum with age, probably lower the tension caused by intra- and interspecific competition for food of individuals of different morphs, which, in turn, can </w:t>
      </w:r>
      <w:r>
        <w:rPr>
          <w:lang w:val="en-US"/>
        </w:rPr>
        <w:t xml:space="preserve">favour higher survival of the left-sided </w:t>
      </w:r>
      <w:ins w:id="146" w:author="Петр Ершов" w:date="2022-09-01T14:43:00Z">
        <w:r>
          <w:rPr>
            <w:lang w:val="en-US"/>
            <w:rPrChange w:id="147" w:author="Петр Ершов" w:date="2022-09-01T14:43:00Z">
              <w:rPr/>
            </w:rPrChange>
          </w:rPr>
          <w:t>(</w:t>
        </w:r>
      </w:ins>
      <w:ins w:id="148" w:author="Петр Ершов" w:date="2022-09-01T14:43:00Z">
        <w:r>
          <w:rPr>
            <w:lang w:val="en-US"/>
          </w:rPr>
          <w:t xml:space="preserve">non-typical) </w:t>
        </w:r>
      </w:ins>
      <w:r>
        <w:rPr>
          <w:lang w:val="en-US"/>
        </w:rPr>
        <w:t>individuals</w:t>
      </w:r>
      <w:r>
        <w:rPr>
          <w:lang w:val="en-GB"/>
        </w:rPr>
        <w:t>. As a result, the mortality of the non-typical and typical morphs turn out to be</w:t>
      </w:r>
      <w:r>
        <w:rPr>
          <w:lang w:val="en-US"/>
        </w:rPr>
        <w:t xml:space="preserve"> very close</w:t>
      </w:r>
      <w:r>
        <w:rPr>
          <w:lang w:val="en-GB"/>
        </w:rPr>
        <w:t xml:space="preserve"> at different stages (2-13 years) of flounder life cycle in various locations in the White Sea. Further study of survival of different morphs at </w:t>
      </w:r>
      <w:r>
        <w:rPr>
          <w:lang w:val="en-US"/>
        </w:rPr>
        <w:t>fingerling and yearling stages,</w:t>
      </w:r>
      <w:r>
        <w:rPr>
          <w:lang w:val="en-GB"/>
        </w:rPr>
        <w:t xml:space="preserve"> spatial distribution and the diet of both morphs in different biotopes will provide more insight into ecological mechanisms </w:t>
      </w:r>
      <w:r>
        <w:rPr>
          <w:highlight w:val="yellow"/>
          <w:lang w:val="en-GB"/>
          <w:rPrChange w:id="149" w:author="Петр Ершов" w:date="2022-09-01T17:24:00Z">
            <w:rPr>
              <w:lang w:val="en-GB"/>
            </w:rPr>
          </w:rPrChange>
        </w:rPr>
        <w:t>maintaining</w:t>
      </w:r>
      <w:r>
        <w:rPr>
          <w:lang w:val="en-GB"/>
        </w:rPr>
        <w:t xml:space="preserve"> </w:t>
      </w:r>
      <w:del w:id="150" w:author="Петр Ершов" w:date="2022-08-29T12:35:00Z">
        <w:r>
          <w:rPr>
            <w:lang w:val="en-GB"/>
          </w:rPr>
          <w:delText>interpopulation</w:delText>
        </w:r>
      </w:del>
      <w:del w:id="151" w:author="Петр Ершов" w:date="2022-08-29T12:35:00Z">
        <w:r>
          <w:rPr>
            <w:lang w:val="en-US"/>
          </w:rPr>
          <w:delText>al</w:delText>
        </w:r>
      </w:del>
      <w:r>
        <w:rPr>
          <w:lang w:val="en-GB"/>
        </w:rPr>
        <w:t xml:space="preserve"> variation in morph proportions in European flounder from the White Sea. </w:t>
      </w:r>
    </w:p>
    <w:p>
      <w:pPr>
        <w:pStyle w:val="16"/>
        <w:spacing w:line="360" w:lineRule="auto"/>
        <w:rPr>
          <w:b/>
          <w:lang w:val="en-US"/>
        </w:rPr>
      </w:pPr>
    </w:p>
    <w:p>
      <w:pPr>
        <w:pStyle w:val="16"/>
        <w:spacing w:line="360" w:lineRule="auto"/>
        <w:rPr>
          <w:b/>
          <w:lang w:val="en-US"/>
        </w:rPr>
      </w:pPr>
      <w:r>
        <w:rPr>
          <w:b/>
          <w:lang w:val="en-US"/>
        </w:rPr>
        <w:t>ACKNOWLEDGEMENTS</w:t>
      </w:r>
    </w:p>
    <w:p>
      <w:pPr>
        <w:pStyle w:val="16"/>
        <w:spacing w:line="360" w:lineRule="auto"/>
        <w:rPr>
          <w:color w:val="000000"/>
          <w:lang w:val="en-US"/>
        </w:rPr>
      </w:pPr>
      <w:r>
        <w:rPr>
          <w:lang w:val="en-US"/>
        </w:rPr>
        <w:t xml:space="preserve">We are grateful to the staffs of the Coastal Research Laboratory of the Polar branch of FSBI “VNIRO” and the White Sea Biological Station “Kartesh” of the Zoological Institute of Russian Academy of Sciences for their help in collecting data during expeditions. </w:t>
      </w:r>
      <w:r>
        <w:rPr>
          <w:color w:val="000000"/>
          <w:lang w:val="en-US"/>
        </w:rPr>
        <w:t xml:space="preserve">This work was carried out as part of the State Task of the Zoological Institute RAS (state registration number no. </w:t>
      </w:r>
      <w:ins w:id="152" w:author="Петр Ершов" w:date="2022-08-26T13:00:00Z">
        <w:r>
          <w:rPr>
            <w:rStyle w:val="31"/>
            <w:sz w:val="24"/>
            <w:szCs w:val="24"/>
            <w:shd w:val="clear" w:color="auto" w:fill="FFFF00"/>
            <w:lang w:val="en-US"/>
            <w:rPrChange w:id="153" w:author="Петр Ершов" w:date="2022-08-26T13:01:00Z">
              <w:rPr>
                <w:rStyle w:val="31"/>
                <w:sz w:val="28"/>
                <w:szCs w:val="28"/>
                <w:shd w:val="clear" w:color="auto" w:fill="FFFF00"/>
              </w:rPr>
            </w:rPrChange>
          </w:rPr>
          <w:t>122031100283-</w:t>
        </w:r>
      </w:ins>
      <w:ins w:id="154" w:author="Петр Ершов" w:date="2022-08-26T13:00:00Z">
        <w:r>
          <w:rPr>
            <w:rStyle w:val="31"/>
            <w:sz w:val="24"/>
            <w:szCs w:val="24"/>
            <w:shd w:val="clear" w:color="auto" w:fill="FFFF00"/>
            <w:lang w:val="en-US"/>
            <w:rPrChange w:id="155" w:author="Петр Ершов" w:date="2022-08-26T13:01:00Z">
              <w:rPr>
                <w:rStyle w:val="31"/>
                <w:sz w:val="28"/>
                <w:szCs w:val="28"/>
                <w:shd w:val="clear" w:color="auto" w:fill="FFFF00"/>
              </w:rPr>
            </w:rPrChange>
          </w:rPr>
          <w:t>9</w:t>
        </w:r>
      </w:ins>
      <w:ins w:id="156" w:author="Петр Ершов" w:date="2022-08-26T13:00:00Z">
        <w:r>
          <w:rPr>
            <w:rStyle w:val="31"/>
            <w:lang w:val="en-US"/>
          </w:rPr>
          <w:t xml:space="preserve"> </w:t>
        </w:r>
      </w:ins>
      <w:del w:id="157" w:author="Петр Ершов" w:date="2022-08-26T13:01:00Z">
        <w:r>
          <w:rPr>
            <w:rStyle w:val="31"/>
            <w:lang w:val="en-US"/>
          </w:rPr>
          <w:delText>1021051402749-2</w:delText>
        </w:r>
      </w:del>
      <w:r>
        <w:rPr>
          <w:color w:val="000000"/>
          <w:lang w:val="en-US"/>
        </w:rPr>
        <w:t>).</w:t>
      </w:r>
    </w:p>
    <w:p>
      <w:pPr>
        <w:pStyle w:val="16"/>
        <w:spacing w:line="360" w:lineRule="auto"/>
        <w:rPr>
          <w:b/>
          <w:lang w:val="en-US"/>
        </w:rPr>
      </w:pPr>
    </w:p>
    <w:p>
      <w:pPr>
        <w:pStyle w:val="16"/>
        <w:spacing w:line="360" w:lineRule="auto"/>
        <w:rPr>
          <w:b/>
          <w:lang w:val="en-US"/>
        </w:rPr>
      </w:pPr>
      <w:r>
        <w:rPr>
          <w:b/>
          <w:lang w:val="en-US"/>
        </w:rPr>
        <w:t>REFERENCES</w:t>
      </w:r>
    </w:p>
    <w:p>
      <w:pPr>
        <w:spacing w:line="360" w:lineRule="auto"/>
        <w:rPr>
          <w:lang w:val="en-US"/>
        </w:rPr>
      </w:pPr>
      <w:r>
        <w:rPr>
          <w:b/>
          <w:lang w:val="en-US"/>
        </w:rPr>
        <w:t>Bergstrom C. A. 2007.</w:t>
      </w:r>
      <w:r>
        <w:rPr>
          <w:lang w:val="en-US"/>
        </w:rPr>
        <w:t xml:space="preserve"> Morphological evidence of correlational selection and ecological </w:t>
      </w:r>
    </w:p>
    <w:p>
      <w:pPr>
        <w:spacing w:line="360" w:lineRule="auto"/>
        <w:rPr>
          <w:lang w:val="en-US"/>
        </w:rPr>
      </w:pPr>
      <w:r>
        <w:rPr>
          <w:lang w:val="en-US"/>
        </w:rPr>
        <w:t xml:space="preserve">segregation between dextral and sinistral forms in a polymorphic flatfish, </w:t>
      </w:r>
      <w:r>
        <w:rPr>
          <w:i/>
          <w:lang w:val="en-US"/>
        </w:rPr>
        <w:t>Platichthys stellatus</w:t>
      </w:r>
      <w:r>
        <w:rPr>
          <w:lang w:val="en-US"/>
        </w:rPr>
        <w:t xml:space="preserve">. </w:t>
      </w:r>
      <w:r>
        <w:rPr>
          <w:i/>
          <w:lang w:val="en-US"/>
        </w:rPr>
        <w:t xml:space="preserve">Journal of Evolutionary Biology, </w:t>
      </w:r>
      <w:r>
        <w:rPr>
          <w:b/>
          <w:lang w:val="en-US"/>
        </w:rPr>
        <w:t>20</w:t>
      </w:r>
      <w:r>
        <w:rPr>
          <w:lang w:val="en-US"/>
        </w:rPr>
        <w:t xml:space="preserve">: 1104–1114. </w:t>
      </w:r>
      <w:r>
        <w:fldChar w:fldCharType="begin"/>
      </w:r>
      <w:r>
        <w:rPr>
          <w:lang w:val="en-US"/>
          <w:rPrChange w:id="158" w:author="Петр Ершов" w:date="2022-08-26T11:17:00Z">
            <w:rPr/>
          </w:rPrChange>
        </w:rPr>
        <w:instrText xml:space="preserve"> HYPERLINK "https://doi.org/10.1111/j.1420-9101.2006.01290" </w:instrText>
      </w:r>
      <w:r>
        <w:fldChar w:fldCharType="separate"/>
      </w:r>
      <w:r>
        <w:rPr>
          <w:rStyle w:val="6"/>
          <w:lang w:val="en-US"/>
        </w:rPr>
        <w:t>https://doi.org/10.1111/j.1420-9101.2006.01290</w:t>
      </w:r>
      <w:r>
        <w:rPr>
          <w:rStyle w:val="6"/>
          <w:lang w:val="en-US"/>
        </w:rPr>
        <w:fldChar w:fldCharType="end"/>
      </w:r>
    </w:p>
    <w:p>
      <w:pPr>
        <w:spacing w:line="360" w:lineRule="auto"/>
        <w:rPr>
          <w:lang w:val="en-US"/>
        </w:rPr>
      </w:pPr>
      <w:r>
        <w:rPr>
          <w:b/>
          <w:lang w:val="en-US"/>
        </w:rPr>
        <w:t>Brey T. 2001.</w:t>
      </w:r>
      <w:r>
        <w:rPr>
          <w:lang w:val="en-US"/>
        </w:rPr>
        <w:t xml:space="preserve"> </w:t>
      </w:r>
      <w:r>
        <w:rPr>
          <w:i/>
          <w:lang w:val="en-US"/>
        </w:rPr>
        <w:t>Population dynamics in benthic invertebrates.</w:t>
      </w:r>
      <w:r>
        <w:rPr>
          <w:lang w:val="en-US"/>
        </w:rPr>
        <w:t xml:space="preserve"> A virtual handbook. Version 01.2. </w:t>
      </w:r>
      <w:r>
        <w:fldChar w:fldCharType="begin"/>
      </w:r>
      <w:r>
        <w:rPr>
          <w:lang w:val="en-US"/>
          <w:rPrChange w:id="159" w:author="Петр Ершов" w:date="2022-08-26T11:17:00Z">
            <w:rPr/>
          </w:rPrChange>
        </w:rPr>
        <w:instrText xml:space="preserve"> HYPERLINK "http://www.thomas-brey.de/science/virtualhandbook" </w:instrText>
      </w:r>
      <w:r>
        <w:fldChar w:fldCharType="separate"/>
      </w:r>
      <w:r>
        <w:rPr>
          <w:rStyle w:val="6"/>
          <w:lang w:val="en-US"/>
        </w:rPr>
        <w:t>http://www.thomas-brey.de/science/virtualhandbook</w:t>
      </w:r>
      <w:r>
        <w:rPr>
          <w:rStyle w:val="6"/>
          <w:lang w:val="en-US"/>
        </w:rPr>
        <w:fldChar w:fldCharType="end"/>
      </w:r>
    </w:p>
    <w:p>
      <w:pPr>
        <w:spacing w:line="360" w:lineRule="auto"/>
        <w:jc w:val="both"/>
        <w:rPr>
          <w:lang w:val="en-US"/>
        </w:rPr>
      </w:pPr>
      <w:r>
        <w:rPr>
          <w:b/>
          <w:lang w:val="en-US"/>
        </w:rPr>
        <w:t>Christensen J. M. 1964.</w:t>
      </w:r>
      <w:r>
        <w:rPr>
          <w:lang w:val="en-US"/>
        </w:rPr>
        <w:t xml:space="preserve"> Burning of otoliths, a technique for age determination of soles and other fish. </w:t>
      </w:r>
      <w:r>
        <w:rPr>
          <w:i/>
          <w:lang w:val="en-US"/>
        </w:rPr>
        <w:t xml:space="preserve">ICES Journal of Marine Science, </w:t>
      </w:r>
      <w:r>
        <w:rPr>
          <w:b/>
          <w:lang w:val="en-US"/>
        </w:rPr>
        <w:t>29</w:t>
      </w:r>
      <w:r>
        <w:rPr>
          <w:lang w:val="en-US"/>
        </w:rPr>
        <w:t xml:space="preserve">: 73–81. </w:t>
      </w:r>
      <w:r>
        <w:fldChar w:fldCharType="begin"/>
      </w:r>
      <w:r>
        <w:rPr>
          <w:lang w:val="en-US"/>
          <w:rPrChange w:id="160" w:author="Петр Ершов" w:date="2022-08-26T11:54:00Z">
            <w:rPr/>
          </w:rPrChange>
        </w:rPr>
        <w:instrText xml:space="preserve"> HYPERLINK "https://doi.org/10.1093/icesjms/29.1.73" </w:instrText>
      </w:r>
      <w:r>
        <w:fldChar w:fldCharType="separate"/>
      </w:r>
      <w:r>
        <w:rPr>
          <w:rStyle w:val="6"/>
          <w:lang w:val="en-US"/>
        </w:rPr>
        <w:t>https://doi.org/10.1093/icesjms/29.1.73</w:t>
      </w:r>
      <w:r>
        <w:rPr>
          <w:rStyle w:val="6"/>
          <w:lang w:val="en-US"/>
        </w:rPr>
        <w:fldChar w:fldCharType="end"/>
      </w:r>
    </w:p>
    <w:p>
      <w:pPr>
        <w:spacing w:line="360" w:lineRule="auto"/>
        <w:jc w:val="both"/>
        <w:rPr>
          <w:lang w:val="en-US"/>
        </w:rPr>
      </w:pPr>
      <w:r>
        <w:rPr>
          <w:b/>
          <w:lang w:val="en-US"/>
        </w:rPr>
        <w:t>Chilton D. E. and Beamish R. J. 1982.</w:t>
      </w:r>
      <w:r>
        <w:rPr>
          <w:lang w:val="en-US"/>
        </w:rPr>
        <w:t xml:space="preserve"> Age determination methods for fishes studied by the groundfish program at the Pacific Biological Station. </w:t>
      </w:r>
      <w:r>
        <w:rPr>
          <w:i/>
          <w:lang w:val="en-US"/>
        </w:rPr>
        <w:t xml:space="preserve">Canadian Special Publication of Fisheries and Aquatic Sciences, </w:t>
      </w:r>
      <w:r>
        <w:rPr>
          <w:b/>
          <w:lang w:val="en-US"/>
        </w:rPr>
        <w:t>60</w:t>
      </w:r>
      <w:r>
        <w:rPr>
          <w:lang w:val="en-US"/>
        </w:rPr>
        <w:t>. 102 p.</w:t>
      </w:r>
    </w:p>
    <w:p>
      <w:pPr>
        <w:spacing w:line="360" w:lineRule="auto"/>
        <w:rPr>
          <w:lang w:val="en-US"/>
        </w:rPr>
      </w:pPr>
      <w:r>
        <w:rPr>
          <w:b/>
          <w:lang w:val="en-US"/>
        </w:rPr>
        <w:t>Duncker G. 1900.</w:t>
      </w:r>
      <w:r>
        <w:rPr>
          <w:lang w:val="en-US"/>
        </w:rPr>
        <w:t xml:space="preserve"> Variation und Asymmetrie bei </w:t>
      </w:r>
      <w:r>
        <w:rPr>
          <w:i/>
          <w:lang w:val="en-US"/>
        </w:rPr>
        <w:t>Pleuronectes flesus</w:t>
      </w:r>
      <w:r>
        <w:rPr>
          <w:lang w:val="en-US"/>
        </w:rPr>
        <w:t xml:space="preserve"> L. </w:t>
      </w:r>
      <w:r>
        <w:rPr>
          <w:i/>
          <w:lang w:val="en-US"/>
        </w:rPr>
        <w:t>Wissenschaftliche Meereuntersuchungen</w:t>
      </w:r>
      <w:r>
        <w:rPr>
          <w:lang w:val="en-US"/>
        </w:rPr>
        <w:t xml:space="preserve">, </w:t>
      </w:r>
      <w:r>
        <w:rPr>
          <w:b/>
          <w:lang w:val="en-US"/>
        </w:rPr>
        <w:t>3</w:t>
      </w:r>
      <w:r>
        <w:rPr>
          <w:lang w:val="en-US"/>
        </w:rPr>
        <w:t>: 335-404.</w:t>
      </w:r>
    </w:p>
    <w:p>
      <w:pPr>
        <w:spacing w:line="360" w:lineRule="auto"/>
        <w:rPr>
          <w:lang w:val="en-US"/>
        </w:rPr>
      </w:pPr>
      <w:r>
        <w:rPr>
          <w:b/>
          <w:lang w:val="en-US"/>
        </w:rPr>
        <w:t>Fornbacke M., Gombrii M. and Lundberg A. 2002.</w:t>
      </w:r>
      <w:r>
        <w:rPr>
          <w:lang w:val="en-US"/>
        </w:rPr>
        <w:t xml:space="preserve"> Sidedness frequencies in the flounder </w:t>
      </w:r>
      <w:r>
        <w:rPr>
          <w:i/>
          <w:lang w:val="en-US"/>
        </w:rPr>
        <w:t xml:space="preserve">Platichthys flesus </w:t>
      </w:r>
      <w:r>
        <w:rPr>
          <w:lang w:val="en-US"/>
        </w:rPr>
        <w:t xml:space="preserve">(Pleuronectiformes) along a biogeographical cline. </w:t>
      </w:r>
      <w:r>
        <w:rPr>
          <w:i/>
          <w:lang w:val="en-US"/>
        </w:rPr>
        <w:t>Sarsia</w:t>
      </w:r>
      <w:r>
        <w:rPr>
          <w:lang w:val="en-US"/>
        </w:rPr>
        <w:t xml:space="preserve">, </w:t>
      </w:r>
      <w:r>
        <w:rPr>
          <w:b/>
          <w:lang w:val="en-US"/>
        </w:rPr>
        <w:t>87</w:t>
      </w:r>
      <w:r>
        <w:rPr>
          <w:lang w:val="en-US"/>
        </w:rPr>
        <w:t xml:space="preserve">: 392–395. </w:t>
      </w:r>
      <w:r>
        <w:fldChar w:fldCharType="begin"/>
      </w:r>
      <w:r>
        <w:rPr>
          <w:lang w:val="en-US"/>
          <w:rPrChange w:id="161" w:author="Петр Ершов" w:date="2022-08-26T11:17:00Z">
            <w:rPr/>
          </w:rPrChange>
        </w:rPr>
        <w:instrText xml:space="preserve"> HYPERLINK "https://doi.org/10.1080/0036482021000155835" </w:instrText>
      </w:r>
      <w:r>
        <w:fldChar w:fldCharType="separate"/>
      </w:r>
      <w:r>
        <w:rPr>
          <w:rStyle w:val="6"/>
          <w:lang w:val="en-US"/>
        </w:rPr>
        <w:t>https://doi.org/10.1080/0036482021000155835</w:t>
      </w:r>
      <w:r>
        <w:rPr>
          <w:rStyle w:val="6"/>
          <w:lang w:val="en-US"/>
        </w:rPr>
        <w:fldChar w:fldCharType="end"/>
      </w:r>
    </w:p>
    <w:p>
      <w:pPr>
        <w:spacing w:line="360" w:lineRule="auto"/>
        <w:rPr>
          <w:i/>
          <w:lang w:val="en-US"/>
        </w:rPr>
      </w:pPr>
      <w:r>
        <w:rPr>
          <w:b/>
          <w:lang w:val="en-US"/>
        </w:rPr>
        <w:t>Forrester C. R. 1969.</w:t>
      </w:r>
      <w:r>
        <w:rPr>
          <w:lang w:val="en-US"/>
        </w:rPr>
        <w:t xml:space="preserve"> Sinistrality in Platichthys stellatus off British Columbia. </w:t>
      </w:r>
      <w:r>
        <w:rPr>
          <w:i/>
          <w:lang w:val="en-US"/>
        </w:rPr>
        <w:t xml:space="preserve">Journal of the </w:t>
      </w:r>
    </w:p>
    <w:p>
      <w:pPr>
        <w:spacing w:line="360" w:lineRule="auto"/>
        <w:rPr>
          <w:rStyle w:val="6"/>
          <w:lang w:val="en-US"/>
        </w:rPr>
      </w:pPr>
      <w:r>
        <w:rPr>
          <w:i/>
          <w:lang w:val="en-US"/>
        </w:rPr>
        <w:t xml:space="preserve">Fisheries Research Board of Canada, </w:t>
      </w:r>
      <w:r>
        <w:rPr>
          <w:b/>
          <w:lang w:val="en-US"/>
        </w:rPr>
        <w:t>26</w:t>
      </w:r>
      <w:r>
        <w:rPr>
          <w:lang w:val="en-US"/>
        </w:rPr>
        <w:t xml:space="preserve">: 191–196. </w:t>
      </w:r>
      <w:r>
        <w:fldChar w:fldCharType="begin"/>
      </w:r>
      <w:r>
        <w:rPr>
          <w:lang w:val="en-US"/>
          <w:rPrChange w:id="162" w:author="Петр Ершов" w:date="2022-08-26T11:17:00Z">
            <w:rPr/>
          </w:rPrChange>
        </w:rPr>
        <w:instrText xml:space="preserve"> HYPERLINK "https://doi.org/10.1139/f69-023" </w:instrText>
      </w:r>
      <w:r>
        <w:fldChar w:fldCharType="separate"/>
      </w:r>
      <w:r>
        <w:rPr>
          <w:rStyle w:val="6"/>
          <w:lang w:val="en-US"/>
        </w:rPr>
        <w:t>https://doi.org/10.1139/f69-023</w:t>
      </w:r>
      <w:r>
        <w:rPr>
          <w:rStyle w:val="6"/>
          <w:lang w:val="en-US"/>
        </w:rPr>
        <w:fldChar w:fldCharType="end"/>
      </w:r>
    </w:p>
    <w:p>
      <w:pPr>
        <w:spacing w:line="360" w:lineRule="auto"/>
        <w:rPr>
          <w:lang w:val="en-US"/>
        </w:rPr>
      </w:pPr>
      <w:r>
        <w:rPr>
          <w:b/>
          <w:lang w:val="en-US"/>
        </w:rPr>
        <w:t>Fuks G. V. 2015.</w:t>
      </w:r>
      <w:r>
        <w:rPr>
          <w:lang w:val="en-US"/>
        </w:rPr>
        <w:t xml:space="preserve"> Method of determining the age of the river flounder </w:t>
      </w:r>
      <w:r>
        <w:rPr>
          <w:i/>
          <w:lang w:val="en-US"/>
        </w:rPr>
        <w:t>Platichthys fles</w:t>
      </w:r>
      <w:r>
        <w:rPr>
          <w:lang w:val="en-US"/>
        </w:rPr>
        <w:t xml:space="preserve">us in the otoliths in the north-western regions of the Russian arctic seas. </w:t>
      </w:r>
      <w:r>
        <w:rPr>
          <w:i/>
          <w:lang w:val="en-US"/>
        </w:rPr>
        <w:t>Educatio</w:t>
      </w:r>
      <w:r>
        <w:rPr>
          <w:lang w:val="en-US"/>
        </w:rPr>
        <w:t xml:space="preserve">, </w:t>
      </w:r>
      <w:r>
        <w:rPr>
          <w:b/>
          <w:lang w:val="en-US"/>
        </w:rPr>
        <w:t>X</w:t>
      </w:r>
      <w:r>
        <w:rPr>
          <w:lang w:val="en-US"/>
        </w:rPr>
        <w:t xml:space="preserve"> (17): 27-30. [In Russian].</w:t>
      </w:r>
    </w:p>
    <w:p>
      <w:pPr>
        <w:spacing w:line="360" w:lineRule="auto"/>
        <w:rPr>
          <w:lang w:val="en-US"/>
        </w:rPr>
      </w:pPr>
      <w:r>
        <w:rPr>
          <w:b/>
          <w:lang w:val="en-US"/>
        </w:rPr>
        <w:t>Hubbs C. L. and Hubbs L. C. 1945.</w:t>
      </w:r>
      <w:r>
        <w:rPr>
          <w:lang w:val="en-US"/>
        </w:rPr>
        <w:t xml:space="preserve"> Bilateral asymmetry and bilateral variation in fishes.</w:t>
      </w:r>
    </w:p>
    <w:p>
      <w:pPr>
        <w:spacing w:line="360" w:lineRule="auto"/>
        <w:rPr>
          <w:lang w:val="en-US"/>
        </w:rPr>
      </w:pPr>
      <w:r>
        <w:rPr>
          <w:i/>
          <w:lang w:val="en-US"/>
        </w:rPr>
        <w:t>Papers of the Michigan Academy of Science, Arts and Letters</w:t>
      </w:r>
      <w:r>
        <w:rPr>
          <w:lang w:val="en-US"/>
        </w:rPr>
        <w:t xml:space="preserve">, </w:t>
      </w:r>
      <w:r>
        <w:rPr>
          <w:b/>
          <w:lang w:val="en-US"/>
        </w:rPr>
        <w:t>30</w:t>
      </w:r>
      <w:r>
        <w:rPr>
          <w:lang w:val="en-US"/>
        </w:rPr>
        <w:t>: 229–310.</w:t>
      </w:r>
      <w:r>
        <w:rPr>
          <w:lang w:val="en-US" w:eastAsia="en-US"/>
        </w:rPr>
        <w:tab/>
      </w:r>
      <w:r>
        <w:rPr>
          <w:lang w:val="en-US" w:eastAsia="en-US"/>
        </w:rPr>
        <w:tab/>
      </w:r>
    </w:p>
    <w:p>
      <w:pPr>
        <w:spacing w:line="360" w:lineRule="auto"/>
        <w:rPr>
          <w:lang w:val="en-US"/>
        </w:rPr>
      </w:pPr>
      <w:r>
        <w:rPr>
          <w:b/>
          <w:lang w:val="en-US"/>
        </w:rPr>
        <w:t>Mikelsaar N. 1958.</w:t>
      </w:r>
      <w:r>
        <w:rPr>
          <w:lang w:val="en-US"/>
        </w:rPr>
        <w:t xml:space="preserve"> Method of equalized scales. </w:t>
      </w:r>
      <w:r>
        <w:rPr>
          <w:i/>
          <w:lang w:val="en-US"/>
        </w:rPr>
        <w:t>Gidrobiologicheskie issledovaniya (Tartu: Izdatelstvo Akademii Nauk ESSR)</w:t>
      </w:r>
      <w:r>
        <w:rPr>
          <w:lang w:val="en-US"/>
        </w:rPr>
        <w:t xml:space="preserve">, </w:t>
      </w:r>
      <w:r>
        <w:rPr>
          <w:b/>
          <w:lang w:val="en-US"/>
        </w:rPr>
        <w:t>1</w:t>
      </w:r>
      <w:r>
        <w:rPr>
          <w:lang w:val="en-US"/>
        </w:rPr>
        <w:t>: 286-312. [In Russian].</w:t>
      </w:r>
    </w:p>
    <w:p>
      <w:pPr>
        <w:spacing w:line="360" w:lineRule="auto"/>
        <w:rPr>
          <w:lang w:val="en-US"/>
        </w:rPr>
      </w:pPr>
      <w:r>
        <w:rPr>
          <w:b/>
          <w:lang w:val="en-US"/>
        </w:rPr>
        <w:t>Orcutt H. G. 1950.</w:t>
      </w:r>
      <w:r>
        <w:rPr>
          <w:lang w:val="en-US"/>
        </w:rPr>
        <w:t xml:space="preserve"> The life history of the starry flounder </w:t>
      </w:r>
      <w:r>
        <w:rPr>
          <w:i/>
          <w:lang w:val="en-US"/>
        </w:rPr>
        <w:t>Platichthys stellatus</w:t>
      </w:r>
      <w:r>
        <w:rPr>
          <w:lang w:val="en-US"/>
        </w:rPr>
        <w:t xml:space="preserve"> (Pallаs). </w:t>
      </w:r>
      <w:r>
        <w:rPr>
          <w:i/>
          <w:lang w:val="en-US"/>
        </w:rPr>
        <w:t>California Department of Fish and Game, Fish Bulletin</w:t>
      </w:r>
      <w:r>
        <w:rPr>
          <w:lang w:val="en-US"/>
        </w:rPr>
        <w:t xml:space="preserve">, </w:t>
      </w:r>
      <w:r>
        <w:rPr>
          <w:b/>
          <w:lang w:val="en-US"/>
        </w:rPr>
        <w:t>78</w:t>
      </w:r>
      <w:r>
        <w:rPr>
          <w:lang w:val="en-US"/>
        </w:rPr>
        <w:t xml:space="preserve">: 1–64. </w:t>
      </w:r>
      <w:r>
        <w:fldChar w:fldCharType="begin"/>
      </w:r>
      <w:r>
        <w:rPr>
          <w:lang w:val="en-US"/>
          <w:rPrChange w:id="163" w:author="Петр Ершов" w:date="2022-08-26T11:17:00Z">
            <w:rPr/>
          </w:rPrChange>
        </w:rPr>
        <w:instrText xml:space="preserve"> HYPERLINK "https://escholarship.org/uc/item/3c74b3bj" </w:instrText>
      </w:r>
      <w:r>
        <w:fldChar w:fldCharType="separate"/>
      </w:r>
      <w:r>
        <w:rPr>
          <w:rStyle w:val="6"/>
          <w:lang w:val="en-US"/>
        </w:rPr>
        <w:t>https://escholarship.org/uc/item/3c74b3bj</w:t>
      </w:r>
      <w:r>
        <w:rPr>
          <w:rStyle w:val="6"/>
          <w:lang w:val="en-US"/>
        </w:rPr>
        <w:fldChar w:fldCharType="end"/>
      </w:r>
    </w:p>
    <w:p>
      <w:pPr>
        <w:spacing w:line="360" w:lineRule="auto"/>
        <w:rPr>
          <w:rStyle w:val="6"/>
          <w:lang w:val="en-US"/>
        </w:rPr>
      </w:pPr>
      <w:r>
        <w:rPr>
          <w:b/>
          <w:lang w:val="en-US"/>
        </w:rPr>
        <w:t>Russo T., Pulcini D., Costantini D., Pedreschi D., Palamara E., Boglione C., Cataudella S., Scardi M. and Mariani S. 2012.</w:t>
      </w:r>
      <w:r>
        <w:rPr>
          <w:lang w:val="en-US"/>
        </w:rPr>
        <w:t xml:space="preserve"> “Right” or “wrong”? Insights into the ecology of sidedness in European flounder, </w:t>
      </w:r>
      <w:r>
        <w:rPr>
          <w:i/>
          <w:lang w:val="en-US"/>
        </w:rPr>
        <w:t>Platichthys flesus</w:t>
      </w:r>
      <w:r>
        <w:rPr>
          <w:lang w:val="en-US"/>
        </w:rPr>
        <w:t xml:space="preserve">. </w:t>
      </w:r>
      <w:r>
        <w:rPr>
          <w:i/>
          <w:lang w:val="en-US"/>
        </w:rPr>
        <w:t>Journal of Morphology</w:t>
      </w:r>
      <w:r>
        <w:rPr>
          <w:lang w:val="en-US"/>
        </w:rPr>
        <w:t xml:space="preserve">, </w:t>
      </w:r>
      <w:r>
        <w:rPr>
          <w:b/>
          <w:lang w:val="en-US"/>
        </w:rPr>
        <w:t>273</w:t>
      </w:r>
      <w:r>
        <w:rPr>
          <w:lang w:val="en-US"/>
        </w:rPr>
        <w:t xml:space="preserve">: 337–346. </w:t>
      </w:r>
      <w:r>
        <w:fldChar w:fldCharType="begin"/>
      </w:r>
      <w:r>
        <w:rPr>
          <w:lang w:val="en-US"/>
          <w:rPrChange w:id="164" w:author="Петр Ершов" w:date="2022-08-26T11:17:00Z">
            <w:rPr/>
          </w:rPrChange>
        </w:rPr>
        <w:instrText xml:space="preserve"> HYPERLINK "https://doi.org/10.1002/jmor.11027" </w:instrText>
      </w:r>
      <w:r>
        <w:fldChar w:fldCharType="separate"/>
      </w:r>
      <w:r>
        <w:rPr>
          <w:rStyle w:val="6"/>
          <w:lang w:val="en-US"/>
        </w:rPr>
        <w:t>https://doi.org/10</w:t>
      </w:r>
      <w:bookmarkStart w:id="1" w:name="_Hlt51229350"/>
      <w:bookmarkStart w:id="2" w:name="_Hlt51229351"/>
      <w:r>
        <w:rPr>
          <w:rStyle w:val="6"/>
          <w:lang w:val="en-US"/>
        </w:rPr>
        <w:t>.</w:t>
      </w:r>
      <w:bookmarkEnd w:id="1"/>
      <w:bookmarkEnd w:id="2"/>
      <w:r>
        <w:rPr>
          <w:rStyle w:val="6"/>
          <w:lang w:val="en-US"/>
        </w:rPr>
        <w:t>1002/jmor.11027</w:t>
      </w:r>
      <w:r>
        <w:rPr>
          <w:rStyle w:val="6"/>
          <w:lang w:val="en-US"/>
        </w:rPr>
        <w:fldChar w:fldCharType="end"/>
      </w:r>
    </w:p>
    <w:p>
      <w:pPr>
        <w:spacing w:line="360" w:lineRule="auto"/>
        <w:rPr>
          <w:lang w:val="en-US"/>
        </w:rPr>
      </w:pPr>
      <w:r>
        <w:rPr>
          <w:b/>
          <w:lang w:val="en-US"/>
        </w:rPr>
        <w:t>R Core Team. 2020.</w:t>
      </w:r>
      <w:r>
        <w:rPr>
          <w:lang w:val="en-US"/>
        </w:rPr>
        <w:t xml:space="preserve"> </w:t>
      </w:r>
      <w:r>
        <w:rPr>
          <w:i/>
          <w:lang w:val="en-US"/>
        </w:rPr>
        <w:t>R: A language and environment for statistical computing</w:t>
      </w:r>
      <w:r>
        <w:rPr>
          <w:lang w:val="en-US"/>
        </w:rPr>
        <w:t xml:space="preserve">. R Foundation for  </w:t>
      </w:r>
    </w:p>
    <w:p>
      <w:pPr>
        <w:spacing w:line="360" w:lineRule="auto"/>
        <w:rPr>
          <w:sz w:val="23"/>
          <w:szCs w:val="23"/>
          <w:lang w:val="en-US"/>
        </w:rPr>
      </w:pPr>
      <w:r>
        <w:rPr>
          <w:lang w:val="en-US"/>
        </w:rPr>
        <w:t xml:space="preserve">Statistical Computing. </w:t>
      </w:r>
      <w:r>
        <w:fldChar w:fldCharType="begin"/>
      </w:r>
      <w:r>
        <w:rPr>
          <w:lang w:val="en-US"/>
          <w:rPrChange w:id="165" w:author="Петр Ершов" w:date="2022-08-26T11:17:00Z">
            <w:rPr/>
          </w:rPrChange>
        </w:rPr>
        <w:instrText xml:space="preserve"> HYPERLINK "http://www.r-project.org/index.html" </w:instrText>
      </w:r>
      <w:r>
        <w:fldChar w:fldCharType="separate"/>
      </w:r>
      <w:r>
        <w:rPr>
          <w:rStyle w:val="6"/>
          <w:lang w:val="en-US"/>
        </w:rPr>
        <w:t>http://www.r-project.org/index.html</w:t>
      </w:r>
      <w:r>
        <w:rPr>
          <w:rStyle w:val="6"/>
          <w:lang w:val="en-US"/>
        </w:rPr>
        <w:fldChar w:fldCharType="end"/>
      </w:r>
    </w:p>
    <w:p>
      <w:pPr>
        <w:pStyle w:val="16"/>
        <w:spacing w:before="0" w:beforeAutospacing="0" w:after="0" w:afterAutospacing="0" w:line="360" w:lineRule="auto"/>
        <w:jc w:val="both"/>
        <w:rPr>
          <w:color w:val="000000"/>
          <w:lang w:val="en-US"/>
        </w:rPr>
      </w:pPr>
      <w:r>
        <w:rPr>
          <w:b/>
          <w:color w:val="000000"/>
          <w:lang w:val="en-US"/>
        </w:rPr>
        <w:t>Semushin A. V. and Sherstkov A. S. 2012.</w:t>
      </w:r>
      <w:r>
        <w:rPr>
          <w:color w:val="000000"/>
          <w:lang w:val="en-US"/>
        </w:rPr>
        <w:t xml:space="preserve"> Pleuronectidae. </w:t>
      </w:r>
      <w:r>
        <w:rPr>
          <w:i/>
          <w:color w:val="000000"/>
          <w:lang w:val="en-US"/>
        </w:rPr>
        <w:t>Biological resources of the White Sea: study and use</w:t>
      </w:r>
      <w:r>
        <w:rPr>
          <w:color w:val="000000"/>
          <w:lang w:val="en-US"/>
        </w:rPr>
        <w:t xml:space="preserve"> (</w:t>
      </w:r>
      <w:r>
        <w:rPr>
          <w:i/>
          <w:color w:val="000000"/>
          <w:lang w:val="en-US"/>
        </w:rPr>
        <w:t>Saint Petersburg, Izdatelstvo ZIN RAN)</w:t>
      </w:r>
      <w:r>
        <w:rPr>
          <w:color w:val="000000"/>
          <w:lang w:val="en-US"/>
        </w:rPr>
        <w:t xml:space="preserve">, </w:t>
      </w:r>
      <w:r>
        <w:rPr>
          <w:b/>
          <w:color w:val="000000"/>
          <w:lang w:val="en-US"/>
        </w:rPr>
        <w:t>69</w:t>
      </w:r>
      <w:r>
        <w:rPr>
          <w:color w:val="000000"/>
          <w:lang w:val="en-US"/>
        </w:rPr>
        <w:t>:.205-211. [In Russian].</w:t>
      </w:r>
    </w:p>
    <w:p>
      <w:pPr>
        <w:spacing w:line="360" w:lineRule="auto"/>
        <w:rPr>
          <w:lang w:val="en-US"/>
        </w:rPr>
      </w:pPr>
      <w:r>
        <w:rPr>
          <w:b/>
          <w:lang w:val="en-US"/>
        </w:rPr>
        <w:t>Semushin A. V., Fuks G. V. and Shilova N. A. 2015.</w:t>
      </w:r>
      <w:r>
        <w:rPr>
          <w:lang w:val="en-US"/>
        </w:rPr>
        <w:t xml:space="preserve"> </w:t>
      </w:r>
      <w:r>
        <w:rPr>
          <w:lang w:val="en"/>
        </w:rPr>
        <w:t xml:space="preserve">Flatfishes of the White Sea: New data on the biology of the Arctic flounder </w:t>
      </w:r>
      <w:r>
        <w:rPr>
          <w:i/>
          <w:lang w:val="en"/>
        </w:rPr>
        <w:t>Liopsetta glacialis</w:t>
      </w:r>
      <w:r>
        <w:rPr>
          <w:lang w:val="en"/>
        </w:rPr>
        <w:t xml:space="preserve">, European flounder </w:t>
      </w:r>
      <w:r>
        <w:rPr>
          <w:i/>
          <w:lang w:val="en"/>
        </w:rPr>
        <w:t>Platichthys flesus</w:t>
      </w:r>
      <w:r>
        <w:rPr>
          <w:lang w:val="en"/>
        </w:rPr>
        <w:t xml:space="preserve">, and </w:t>
      </w:r>
      <w:r>
        <w:t>С</w:t>
      </w:r>
      <w:r>
        <w:rPr>
          <w:lang w:val="en"/>
        </w:rPr>
        <w:t xml:space="preserve">ommon dab </w:t>
      </w:r>
      <w:r>
        <w:rPr>
          <w:i/>
          <w:lang w:val="en"/>
        </w:rPr>
        <w:t>Limanda limanda</w:t>
      </w:r>
      <w:r>
        <w:rPr>
          <w:lang w:val="en"/>
        </w:rPr>
        <w:t xml:space="preserve">. </w:t>
      </w:r>
      <w:r>
        <w:rPr>
          <w:i/>
          <w:lang w:val="en"/>
        </w:rPr>
        <w:t xml:space="preserve">Journal of Ichthyology, </w:t>
      </w:r>
      <w:r>
        <w:rPr>
          <w:b/>
          <w:lang w:val="en"/>
        </w:rPr>
        <w:t>55</w:t>
      </w:r>
      <w:r>
        <w:rPr>
          <w:lang w:val="en"/>
        </w:rPr>
        <w:t>: 527-539.</w:t>
      </w:r>
      <w:r>
        <w:rPr>
          <w:lang w:val="en-US"/>
        </w:rPr>
        <w:t xml:space="preserve">    </w:t>
      </w:r>
      <w:r>
        <w:fldChar w:fldCharType="begin"/>
      </w:r>
      <w:r>
        <w:rPr>
          <w:lang w:val="en-US"/>
          <w:rPrChange w:id="166" w:author="Петр Ершов" w:date="2022-08-26T11:17:00Z">
            <w:rPr/>
          </w:rPrChange>
        </w:rPr>
        <w:instrText xml:space="preserve"> HYPERLINK "https://doi.org/10.1134/S0032945215030121" </w:instrText>
      </w:r>
      <w:r>
        <w:fldChar w:fldCharType="separate"/>
      </w:r>
      <w:r>
        <w:rPr>
          <w:rStyle w:val="6"/>
          <w:lang w:val="en-US"/>
        </w:rPr>
        <w:t>https://doi.org/10.1134/S0032945215030121</w:t>
      </w:r>
      <w:r>
        <w:rPr>
          <w:rStyle w:val="6"/>
          <w:lang w:val="en-US"/>
        </w:rPr>
        <w:fldChar w:fldCharType="end"/>
      </w:r>
    </w:p>
    <w:p>
      <w:pPr>
        <w:spacing w:line="360" w:lineRule="auto"/>
        <w:rPr>
          <w:lang w:val="en-US"/>
        </w:rPr>
      </w:pPr>
      <w:r>
        <w:rPr>
          <w:b/>
          <w:lang w:val="en-US"/>
        </w:rPr>
        <w:t>Shatunovsky M.I. and Chestnova L.G. 1970.</w:t>
      </w:r>
      <w:r>
        <w:rPr>
          <w:lang w:val="en-US"/>
        </w:rPr>
        <w:t xml:space="preserve"> Some biological characteristics of the flounder </w:t>
      </w:r>
    </w:p>
    <w:p>
      <w:pPr>
        <w:spacing w:line="360" w:lineRule="auto"/>
        <w:rPr>
          <w:lang w:val="en-US"/>
        </w:rPr>
      </w:pPr>
      <w:r>
        <w:rPr>
          <w:lang w:val="en-US"/>
        </w:rPr>
        <w:t xml:space="preserve">from the Kandalaksha Bay in the White Sea. </w:t>
      </w:r>
      <w:r>
        <w:rPr>
          <w:i/>
          <w:lang w:val="en-US"/>
        </w:rPr>
        <w:t>Trudy Belomorskoy Biologicheskoy stantsii Moskovskogo Universiteta</w:t>
      </w:r>
      <w:r>
        <w:rPr>
          <w:lang w:val="en-US"/>
        </w:rPr>
        <w:t xml:space="preserve">, </w:t>
      </w:r>
      <w:r>
        <w:rPr>
          <w:b/>
          <w:lang w:val="en-US"/>
        </w:rPr>
        <w:t>3</w:t>
      </w:r>
      <w:r>
        <w:rPr>
          <w:lang w:val="en-US"/>
        </w:rPr>
        <w:t>: 166–188. [In Russian].</w:t>
      </w:r>
    </w:p>
    <w:p>
      <w:pPr>
        <w:spacing w:line="360" w:lineRule="auto"/>
        <w:rPr>
          <w:lang w:val="en-US"/>
        </w:rPr>
      </w:pPr>
      <w:r>
        <w:rPr>
          <w:b/>
          <w:lang w:val="en-US"/>
        </w:rPr>
        <w:t xml:space="preserve">Sych N. S. 1930. </w:t>
      </w:r>
      <w:r>
        <w:rPr>
          <w:i/>
          <w:lang w:val="en"/>
        </w:rPr>
        <w:t>Pleuronectes</w:t>
      </w:r>
      <w:r>
        <w:rPr>
          <w:i/>
          <w:lang w:val="en-US"/>
        </w:rPr>
        <w:t xml:space="preserve"> </w:t>
      </w:r>
      <w:r>
        <w:rPr>
          <w:i/>
          <w:lang w:val="en"/>
        </w:rPr>
        <w:t>flesus</w:t>
      </w:r>
      <w:r>
        <w:rPr>
          <w:lang w:val="en-US"/>
        </w:rPr>
        <w:t xml:space="preserve"> of the Barents and White Seas. </w:t>
      </w:r>
      <w:r>
        <w:rPr>
          <w:i/>
          <w:lang w:val="en-US"/>
        </w:rPr>
        <w:t>Trudy Nauchnogo Instituta Rybnogo Khozyaistva,</w:t>
      </w:r>
      <w:r>
        <w:rPr>
          <w:b/>
          <w:lang w:val="en-US"/>
        </w:rPr>
        <w:t xml:space="preserve"> 5</w:t>
      </w:r>
      <w:r>
        <w:rPr>
          <w:lang w:val="en-US"/>
        </w:rPr>
        <w:t>: 89-116. [In Russian].</w:t>
      </w:r>
    </w:p>
    <w:p>
      <w:pPr>
        <w:spacing w:line="360" w:lineRule="auto"/>
        <w:rPr>
          <w:lang w:val="en-US"/>
        </w:rPr>
      </w:pPr>
      <w:r>
        <w:rPr>
          <w:b/>
          <w:lang w:val="en-US"/>
        </w:rPr>
        <w:t>Townsend L. D. 1937.</w:t>
      </w:r>
      <w:r>
        <w:rPr>
          <w:lang w:val="en-US"/>
        </w:rPr>
        <w:t xml:space="preserve"> Geographical variation and correlation in Pacific flounders. </w:t>
      </w:r>
      <w:r>
        <w:rPr>
          <w:i/>
          <w:lang w:val="en-US"/>
        </w:rPr>
        <w:t>Copeia</w:t>
      </w:r>
      <w:r>
        <w:rPr>
          <w:lang w:val="en-US"/>
        </w:rPr>
        <w:t xml:space="preserve">, </w:t>
      </w:r>
      <w:r>
        <w:rPr>
          <w:b/>
          <w:lang w:val="en-US"/>
        </w:rPr>
        <w:t>2</w:t>
      </w:r>
      <w:r>
        <w:rPr>
          <w:lang w:val="en-US"/>
        </w:rPr>
        <w:t>: 92–103.</w:t>
      </w:r>
    </w:p>
    <w:p>
      <w:pPr>
        <w:spacing w:line="360" w:lineRule="auto"/>
        <w:rPr>
          <w:i/>
          <w:lang w:val="en-US"/>
        </w:rPr>
      </w:pPr>
      <w:r>
        <w:rPr>
          <w:b/>
          <w:lang w:val="en-US"/>
        </w:rPr>
        <w:t>Zuur A., Ieno E., Walker N., Saveliev A. and Smith G. 2009.</w:t>
      </w:r>
      <w:r>
        <w:rPr>
          <w:lang w:val="en-US"/>
        </w:rPr>
        <w:t xml:space="preserve"> </w:t>
      </w:r>
      <w:r>
        <w:rPr>
          <w:i/>
          <w:lang w:val="en-US"/>
        </w:rPr>
        <w:t xml:space="preserve">Mixed effects models and </w:t>
      </w:r>
    </w:p>
    <w:p>
      <w:pPr>
        <w:spacing w:line="360" w:lineRule="auto"/>
        <w:rPr>
          <w:lang w:val="en-US"/>
        </w:rPr>
      </w:pPr>
      <w:r>
        <w:rPr>
          <w:i/>
          <w:lang w:val="en-US"/>
        </w:rPr>
        <w:t>extensions in ecology with R</w:t>
      </w:r>
      <w:r>
        <w:rPr>
          <w:lang w:val="en-US"/>
        </w:rPr>
        <w:t xml:space="preserve">. Spring Science and Business Media, New York. </w:t>
      </w:r>
      <w:r>
        <w:fldChar w:fldCharType="begin"/>
      </w:r>
      <w:r>
        <w:rPr>
          <w:lang w:val="en-US"/>
          <w:rPrChange w:id="167" w:author="Петр Ершов" w:date="2022-08-26T11:54:00Z">
            <w:rPr/>
          </w:rPrChange>
        </w:rPr>
        <w:instrText xml:space="preserve"> HYPERLINK "https://doi.org/10.1007/978-0-387-87458-6" </w:instrText>
      </w:r>
      <w:r>
        <w:fldChar w:fldCharType="separate"/>
      </w:r>
      <w:r>
        <w:rPr>
          <w:rStyle w:val="6"/>
          <w:lang w:val="en-US"/>
        </w:rPr>
        <w:t>https://doi.org/10.1007/978-0-387-87458-6</w:t>
      </w:r>
      <w:r>
        <w:rPr>
          <w:rStyle w:val="6"/>
          <w:lang w:val="en-US"/>
        </w:rPr>
        <w:fldChar w:fldCharType="end"/>
      </w:r>
    </w:p>
    <w:p>
      <w:pPr>
        <w:pStyle w:val="30"/>
        <w:spacing w:before="0" w:beforeAutospacing="0" w:after="0" w:afterAutospacing="0" w:line="480" w:lineRule="auto"/>
        <w:rPr>
          <w:b/>
          <w:lang w:val="en-GB"/>
        </w:rPr>
      </w:pPr>
    </w:p>
    <w:p>
      <w:pPr>
        <w:pStyle w:val="30"/>
        <w:spacing w:before="0" w:beforeAutospacing="0" w:after="0" w:afterAutospacing="0" w:line="480" w:lineRule="auto"/>
        <w:rPr>
          <w:b/>
          <w:lang w:val="en-GB"/>
        </w:rPr>
      </w:pPr>
      <w:r>
        <w:rPr>
          <w:b/>
          <w:lang w:val="en-GB"/>
        </w:rPr>
        <w:t>FIGURE CAPTIONS</w:t>
      </w:r>
    </w:p>
    <w:p>
      <w:pPr>
        <w:pStyle w:val="30"/>
        <w:spacing w:before="0" w:beforeAutospacing="0" w:after="0" w:afterAutospacing="0" w:line="480" w:lineRule="auto"/>
        <w:rPr>
          <w:b/>
          <w:lang w:val="en-GB"/>
        </w:rPr>
      </w:pPr>
    </w:p>
    <w:p>
      <w:pPr>
        <w:autoSpaceDE w:val="0"/>
        <w:autoSpaceDN w:val="0"/>
        <w:adjustRightInd w:val="0"/>
        <w:spacing w:line="360" w:lineRule="auto"/>
        <w:jc w:val="both"/>
        <w:rPr>
          <w:lang w:val="en-GB"/>
        </w:rPr>
      </w:pPr>
      <w:r>
        <w:rPr>
          <w:rStyle w:val="8"/>
          <w:lang w:val="en-GB"/>
        </w:rPr>
        <w:t>Fig. 1.</w:t>
      </w:r>
      <w:r>
        <w:rPr>
          <w:lang w:val="en-GB"/>
        </w:rPr>
        <w:t xml:space="preserve"> Collection sites of the European flounder (indicated by dots) in the White Sea.</w:t>
      </w:r>
    </w:p>
    <w:p>
      <w:pPr>
        <w:spacing w:line="360" w:lineRule="auto"/>
        <w:rPr>
          <w:lang w:val="en-GB"/>
        </w:rPr>
      </w:pPr>
      <w:r>
        <w:rPr>
          <w:rStyle w:val="8"/>
          <w:lang w:val="en-GB"/>
        </w:rPr>
        <w:t>Fig. 2.</w:t>
      </w:r>
      <w:r>
        <w:rPr>
          <w:lang w:val="en-GB"/>
        </w:rPr>
        <w:t xml:space="preserve"> Description of the size composition for the left- and right-sided individuals of the European flounder from different bays of the White Sea.</w:t>
      </w:r>
      <w:r>
        <w:rPr>
          <w:lang w:val="en-US"/>
        </w:rPr>
        <w:t xml:space="preserve"> </w:t>
      </w:r>
      <w:r>
        <w:rPr>
          <w:lang w:val="en-GB"/>
        </w:rPr>
        <w:t xml:space="preserve">Non-overlapping triangular notches in the box plots indicate significantly different medians. </w:t>
      </w:r>
    </w:p>
    <w:p>
      <w:pPr>
        <w:pStyle w:val="14"/>
        <w:spacing w:line="360" w:lineRule="auto"/>
        <w:ind w:firstLine="0"/>
        <w:rPr>
          <w:del w:id="168" w:author="Петр Ершов" w:date="2022-08-26T11:17:00Z"/>
          <w:lang w:val="en-US"/>
        </w:rPr>
      </w:pPr>
      <w:del w:id="169" w:author="Петр Ершов" w:date="2022-08-26T11:17:00Z">
        <w:r>
          <w:rPr>
            <w:b/>
            <w:lang w:val="en-US"/>
          </w:rPr>
          <w:delText>Fig. 3.</w:delText>
        </w:r>
      </w:del>
      <w:del w:id="170" w:author="Петр Ершов" w:date="2022-08-26T11:17:00Z">
        <w:r>
          <w:rPr>
            <w:lang w:val="en-US"/>
          </w:rPr>
          <w:delText xml:space="preserve"> Probability of encountering left-sided morph in flounder populations from different bays, predicted by the Model 1. Wiskers represent 95% confidential interval.</w:delText>
        </w:r>
      </w:del>
    </w:p>
    <w:p>
      <w:pPr>
        <w:pStyle w:val="30"/>
        <w:spacing w:before="0" w:beforeAutospacing="0" w:after="0" w:afterAutospacing="0" w:line="480" w:lineRule="auto"/>
        <w:rPr>
          <w:b/>
          <w:lang w:val="en-GB"/>
        </w:rPr>
      </w:pPr>
    </w:p>
    <w:p>
      <w:pPr>
        <w:pStyle w:val="30"/>
        <w:spacing w:before="0" w:beforeAutospacing="0" w:after="0" w:afterAutospacing="0" w:line="480" w:lineRule="auto"/>
        <w:rPr>
          <w:b/>
          <w:lang w:val="en-US"/>
        </w:rPr>
      </w:pPr>
      <w:r>
        <w:rPr>
          <w:b/>
          <w:lang w:val="en-US"/>
        </w:rPr>
        <w:t>TABLES</w:t>
      </w:r>
    </w:p>
    <w:p>
      <w:pPr>
        <w:pStyle w:val="30"/>
        <w:spacing w:before="0" w:beforeAutospacing="0" w:after="0" w:afterAutospacing="0" w:line="480" w:lineRule="auto"/>
        <w:rPr>
          <w:lang w:val="en-US"/>
        </w:rPr>
      </w:pPr>
      <w:r>
        <w:rPr>
          <w:b/>
          <w:lang w:val="en-GB"/>
        </w:rPr>
        <w:t>Table 1.</w:t>
      </w:r>
      <w:r>
        <w:rPr>
          <w:lang w:val="en-GB"/>
        </w:rPr>
        <w:t xml:space="preserve"> Parameters of the final model describing the relationships between collection site and the probability of encountering left-sided individuals</w:t>
      </w:r>
      <w:r>
        <w:rPr>
          <w:lang w:val="en-US"/>
        </w:rPr>
        <w:t xml:space="preserve"> in flounder populations from the White Sea</w:t>
      </w:r>
      <w:r>
        <w:rPr>
          <w:lang w:val="en-GB"/>
        </w:rPr>
        <w:t xml:space="preserve">. </w:t>
      </w:r>
      <w:r>
        <w:rPr>
          <w:lang w:val="en-US"/>
        </w:rPr>
        <w:t xml:space="preserve">Kandalaksha </w:t>
      </w:r>
      <w:r>
        <w:rPr>
          <w:lang w:val="en-GB"/>
        </w:rPr>
        <w:t>Bay</w:t>
      </w:r>
      <w:r>
        <w:rPr>
          <w:lang w:val="en-US"/>
        </w:rPr>
        <w:t xml:space="preserve"> </w:t>
      </w:r>
      <w:r>
        <w:rPr>
          <w:lang w:val="en-GB"/>
        </w:rPr>
        <w:t>was</w:t>
      </w:r>
      <w:r>
        <w:rPr>
          <w:lang w:val="en-US"/>
        </w:rPr>
        <w:t xml:space="preserve"> </w:t>
      </w:r>
      <w:r>
        <w:rPr>
          <w:lang w:val="en-GB"/>
        </w:rPr>
        <w:t>selected</w:t>
      </w:r>
      <w:r>
        <w:rPr>
          <w:lang w:val="en-US"/>
        </w:rPr>
        <w:t xml:space="preserve"> </w:t>
      </w:r>
      <w:r>
        <w:rPr>
          <w:lang w:val="en-GB"/>
        </w:rPr>
        <w:t>as</w:t>
      </w:r>
      <w:r>
        <w:rPr>
          <w:lang w:val="en-US"/>
        </w:rPr>
        <w:t xml:space="preserve"> </w:t>
      </w:r>
      <w:r>
        <w:rPr>
          <w:lang w:val="en-GB"/>
        </w:rPr>
        <w:t>the</w:t>
      </w:r>
      <w:r>
        <w:rPr>
          <w:lang w:val="en-US"/>
        </w:rPr>
        <w:t xml:space="preserve"> </w:t>
      </w:r>
      <w:r>
        <w:rPr>
          <w:lang w:val="en-GB"/>
        </w:rPr>
        <w:t>baseline</w:t>
      </w:r>
      <w:r>
        <w:rPr>
          <w:lang w:val="en-US"/>
        </w:rPr>
        <w:t>.</w:t>
      </w:r>
    </w:p>
    <w:p>
      <w:pPr>
        <w:spacing w:line="360" w:lineRule="auto"/>
        <w:rPr>
          <w:lang w:val="en-GB"/>
        </w:rPr>
      </w:pPr>
      <w:r>
        <w:rPr>
          <w:b/>
          <w:lang w:val="en-GB"/>
        </w:rPr>
        <w:t>Table 2.</w:t>
      </w:r>
      <w:r>
        <w:rPr>
          <w:lang w:val="en-GB"/>
        </w:rPr>
        <w:t xml:space="preserve"> Parameters of the model describing the probability of encountering left-sided individuals as a function of the age and sex in </w:t>
      </w:r>
      <w:r>
        <w:rPr>
          <w:lang w:val="en-US"/>
        </w:rPr>
        <w:t xml:space="preserve">flounder population from the </w:t>
      </w:r>
      <w:r>
        <w:rPr>
          <w:lang w:val="en-GB"/>
        </w:rPr>
        <w:t>Onega Bay. Level “female” was selected as the baseline of discrete factor “</w:t>
      </w:r>
      <w:r>
        <w:rPr>
          <w:i/>
          <w:lang w:val="en-GB"/>
        </w:rPr>
        <w:t>Sex</w:t>
      </w:r>
      <w:r>
        <w:rPr>
          <w:lang w:val="en-GB"/>
        </w:rPr>
        <w:t>”.</w:t>
      </w:r>
    </w:p>
    <w:sectPr>
      <w:headerReference r:id="rId3" w:type="default"/>
      <w:pgSz w:w="11906" w:h="16838"/>
      <w:pgMar w:top="1134" w:right="851" w:bottom="1134" w:left="1701" w:header="709" w:footer="709" w:gutter="0"/>
      <w:lnNumType w:countBy="1" w:restart="continuou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CC"/>
    <w:family w:val="swiss"/>
    <w:pitch w:val="default"/>
    <w:sig w:usb0="E4002EFF" w:usb1="C000E47F" w:usb2="00000009" w:usb3="00000000" w:csb0="200001FF" w:csb1="00000000"/>
  </w:font>
  <w:font w:name="Calibri">
    <w:panose1 w:val="020F0502020204030204"/>
    <w:charset w:val="CC"/>
    <w:family w:val="swiss"/>
    <w:pitch w:val="default"/>
    <w:sig w:usb0="E4002EFF" w:usb1="C000247B" w:usb2="00000009" w:usb3="00000000" w:csb0="200001FF" w:csb1="00000000"/>
  </w:font>
  <w:font w:name="Times-Roman">
    <w:altName w:val="Times New Roman"/>
    <w:panose1 w:val="00000000000000000000"/>
    <w:charset w:val="00"/>
    <w:family w:val="roman"/>
    <w:pitch w:val="default"/>
    <w:sig w:usb0="00000000" w:usb1="00000000" w:usb2="00000000" w:usb3="00000000" w:csb0="00000001" w:csb1="00000000"/>
  </w:font>
  <w:font w:name="Times-Italic">
    <w:altName w:val="Times New Roman"/>
    <w:panose1 w:val="00000000000000000000"/>
    <w:charset w:val="00"/>
    <w:family w:val="roman"/>
    <w:pitch w:val="default"/>
    <w:sig w:usb0="00000000" w:usb1="00000000" w:usb2="00000000" w:usb3="00000000" w:csb0="00000001" w:csb1="00000000"/>
  </w:font>
  <w:font w:name="Times-Bold">
    <w:altName w:val="Times New Roman"/>
    <w:panose1 w:val="00000000000000000000"/>
    <w:charset w:val="00"/>
    <w:family w:val="roman"/>
    <w:pitch w:val="default"/>
    <w:sig w:usb0="0000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34493638"/>
    </w:sdtPr>
    <w:sdtContent>
      <w:p>
        <w:pPr>
          <w:pStyle w:val="13"/>
          <w:jc w:val="right"/>
        </w:pPr>
        <w:r>
          <w:fldChar w:fldCharType="begin"/>
        </w:r>
        <w:r>
          <w:instrText xml:space="preserve">PAGE   \* MERGEFORMAT</w:instrText>
        </w:r>
        <w:r>
          <w:fldChar w:fldCharType="separate"/>
        </w:r>
        <w:r>
          <w:t>9</w:t>
        </w:r>
        <w:r>
          <w:fldChar w:fldCharType="end"/>
        </w:r>
      </w:p>
    </w:sdtContent>
  </w:sdt>
  <w:p>
    <w:pPr>
      <w:pStyle w:val="13"/>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Петр Ершов">
    <w15:presenceInfo w15:providerId="Windows Live" w15:userId="ceeb04a8602116aa"/>
  </w15:person>
  <w15:person w15:author="google1599737165">
    <w15:presenceInfo w15:providerId="WPS Office" w15:userId="24258882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trackRevisions w:val="1"/>
  <w:documentProtection w:enforcement="0"/>
  <w:defaultTabStop w:val="708"/>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7DA"/>
    <w:rsid w:val="00002BE7"/>
    <w:rsid w:val="00006211"/>
    <w:rsid w:val="00006C23"/>
    <w:rsid w:val="000073C7"/>
    <w:rsid w:val="00007D05"/>
    <w:rsid w:val="00010FF6"/>
    <w:rsid w:val="00011A24"/>
    <w:rsid w:val="00012BFD"/>
    <w:rsid w:val="00012F03"/>
    <w:rsid w:val="000137D0"/>
    <w:rsid w:val="000140F6"/>
    <w:rsid w:val="00016BCA"/>
    <w:rsid w:val="00017842"/>
    <w:rsid w:val="000202E0"/>
    <w:rsid w:val="0002169B"/>
    <w:rsid w:val="00021F49"/>
    <w:rsid w:val="00022348"/>
    <w:rsid w:val="000237DF"/>
    <w:rsid w:val="000250B8"/>
    <w:rsid w:val="00026D17"/>
    <w:rsid w:val="0003178C"/>
    <w:rsid w:val="000317B3"/>
    <w:rsid w:val="000317CA"/>
    <w:rsid w:val="00034649"/>
    <w:rsid w:val="00035C36"/>
    <w:rsid w:val="00037A45"/>
    <w:rsid w:val="00040AE0"/>
    <w:rsid w:val="00040B41"/>
    <w:rsid w:val="000415A2"/>
    <w:rsid w:val="000429C0"/>
    <w:rsid w:val="000450EC"/>
    <w:rsid w:val="00045125"/>
    <w:rsid w:val="000464CF"/>
    <w:rsid w:val="00051BBA"/>
    <w:rsid w:val="0005339A"/>
    <w:rsid w:val="000539B7"/>
    <w:rsid w:val="000550B9"/>
    <w:rsid w:val="0005557F"/>
    <w:rsid w:val="0006344F"/>
    <w:rsid w:val="000642AA"/>
    <w:rsid w:val="00066B0F"/>
    <w:rsid w:val="00067F5F"/>
    <w:rsid w:val="0007019C"/>
    <w:rsid w:val="0007051A"/>
    <w:rsid w:val="00073592"/>
    <w:rsid w:val="00074050"/>
    <w:rsid w:val="000753E5"/>
    <w:rsid w:val="000754D5"/>
    <w:rsid w:val="000807AE"/>
    <w:rsid w:val="00080F0F"/>
    <w:rsid w:val="00083243"/>
    <w:rsid w:val="00084B1F"/>
    <w:rsid w:val="00085C28"/>
    <w:rsid w:val="00087787"/>
    <w:rsid w:val="000928DE"/>
    <w:rsid w:val="00095955"/>
    <w:rsid w:val="000A15B4"/>
    <w:rsid w:val="000A2D0C"/>
    <w:rsid w:val="000A6AC3"/>
    <w:rsid w:val="000B3497"/>
    <w:rsid w:val="000B46A7"/>
    <w:rsid w:val="000B4F2A"/>
    <w:rsid w:val="000B545E"/>
    <w:rsid w:val="000B572C"/>
    <w:rsid w:val="000B792E"/>
    <w:rsid w:val="000B7F76"/>
    <w:rsid w:val="000C38BC"/>
    <w:rsid w:val="000C399D"/>
    <w:rsid w:val="000C5EBF"/>
    <w:rsid w:val="000C6F3F"/>
    <w:rsid w:val="000D0DAA"/>
    <w:rsid w:val="000D1116"/>
    <w:rsid w:val="000D1A47"/>
    <w:rsid w:val="000D1AA5"/>
    <w:rsid w:val="000D1E36"/>
    <w:rsid w:val="000D4442"/>
    <w:rsid w:val="000D4E6D"/>
    <w:rsid w:val="000D60B1"/>
    <w:rsid w:val="000E25CA"/>
    <w:rsid w:val="000E3529"/>
    <w:rsid w:val="000E5A04"/>
    <w:rsid w:val="000E6DEF"/>
    <w:rsid w:val="000F189A"/>
    <w:rsid w:val="000F57CD"/>
    <w:rsid w:val="00101AB0"/>
    <w:rsid w:val="00102998"/>
    <w:rsid w:val="00111508"/>
    <w:rsid w:val="001118D2"/>
    <w:rsid w:val="00111EE5"/>
    <w:rsid w:val="00114CCF"/>
    <w:rsid w:val="00120069"/>
    <w:rsid w:val="0012059B"/>
    <w:rsid w:val="001223B6"/>
    <w:rsid w:val="00122A89"/>
    <w:rsid w:val="00123FCD"/>
    <w:rsid w:val="001252D8"/>
    <w:rsid w:val="00126BF8"/>
    <w:rsid w:val="00127300"/>
    <w:rsid w:val="001303D2"/>
    <w:rsid w:val="0013095C"/>
    <w:rsid w:val="001336FF"/>
    <w:rsid w:val="0013478A"/>
    <w:rsid w:val="00134CEB"/>
    <w:rsid w:val="00135DA0"/>
    <w:rsid w:val="0014045D"/>
    <w:rsid w:val="001410C5"/>
    <w:rsid w:val="00142EB1"/>
    <w:rsid w:val="00143E02"/>
    <w:rsid w:val="0014659D"/>
    <w:rsid w:val="00146DFF"/>
    <w:rsid w:val="0015577A"/>
    <w:rsid w:val="00157A10"/>
    <w:rsid w:val="00164701"/>
    <w:rsid w:val="001716D2"/>
    <w:rsid w:val="00172A27"/>
    <w:rsid w:val="00172ACC"/>
    <w:rsid w:val="00176F10"/>
    <w:rsid w:val="00180223"/>
    <w:rsid w:val="0018194B"/>
    <w:rsid w:val="001825E7"/>
    <w:rsid w:val="0018611D"/>
    <w:rsid w:val="00187AAC"/>
    <w:rsid w:val="001921C4"/>
    <w:rsid w:val="00193FFC"/>
    <w:rsid w:val="001949AE"/>
    <w:rsid w:val="00195F60"/>
    <w:rsid w:val="00196644"/>
    <w:rsid w:val="00196E50"/>
    <w:rsid w:val="001977C7"/>
    <w:rsid w:val="00197F1C"/>
    <w:rsid w:val="001A0CDF"/>
    <w:rsid w:val="001A12C0"/>
    <w:rsid w:val="001A6D9B"/>
    <w:rsid w:val="001A7DA7"/>
    <w:rsid w:val="001B22FD"/>
    <w:rsid w:val="001B2649"/>
    <w:rsid w:val="001B4ACF"/>
    <w:rsid w:val="001C2974"/>
    <w:rsid w:val="001C5725"/>
    <w:rsid w:val="001C64D7"/>
    <w:rsid w:val="001D0BCC"/>
    <w:rsid w:val="001D2245"/>
    <w:rsid w:val="001D3222"/>
    <w:rsid w:val="001D3B57"/>
    <w:rsid w:val="001D7835"/>
    <w:rsid w:val="001E62B1"/>
    <w:rsid w:val="001E66F6"/>
    <w:rsid w:val="001E7B0A"/>
    <w:rsid w:val="001E7B6A"/>
    <w:rsid w:val="001F2C5C"/>
    <w:rsid w:val="001F4E96"/>
    <w:rsid w:val="001F5E7E"/>
    <w:rsid w:val="001F64CF"/>
    <w:rsid w:val="001F66B9"/>
    <w:rsid w:val="001F6768"/>
    <w:rsid w:val="001F6FD9"/>
    <w:rsid w:val="00200F53"/>
    <w:rsid w:val="00201AE6"/>
    <w:rsid w:val="00202733"/>
    <w:rsid w:val="0020539C"/>
    <w:rsid w:val="002059D7"/>
    <w:rsid w:val="00210DE9"/>
    <w:rsid w:val="00211187"/>
    <w:rsid w:val="002115F6"/>
    <w:rsid w:val="00214287"/>
    <w:rsid w:val="0021441A"/>
    <w:rsid w:val="0021491D"/>
    <w:rsid w:val="002152F4"/>
    <w:rsid w:val="00215B05"/>
    <w:rsid w:val="00221F25"/>
    <w:rsid w:val="0022220B"/>
    <w:rsid w:val="002235A9"/>
    <w:rsid w:val="00223A43"/>
    <w:rsid w:val="00226452"/>
    <w:rsid w:val="00226A80"/>
    <w:rsid w:val="00227253"/>
    <w:rsid w:val="00230B5C"/>
    <w:rsid w:val="002317D0"/>
    <w:rsid w:val="0023372D"/>
    <w:rsid w:val="00233F18"/>
    <w:rsid w:val="0023652B"/>
    <w:rsid w:val="002369C7"/>
    <w:rsid w:val="0024063D"/>
    <w:rsid w:val="002423E9"/>
    <w:rsid w:val="00242DC1"/>
    <w:rsid w:val="002451D4"/>
    <w:rsid w:val="00247343"/>
    <w:rsid w:val="00250775"/>
    <w:rsid w:val="002520AF"/>
    <w:rsid w:val="002561A4"/>
    <w:rsid w:val="0025647E"/>
    <w:rsid w:val="00262409"/>
    <w:rsid w:val="00262BE0"/>
    <w:rsid w:val="00263B49"/>
    <w:rsid w:val="002643D1"/>
    <w:rsid w:val="002644BB"/>
    <w:rsid w:val="00264A68"/>
    <w:rsid w:val="00265863"/>
    <w:rsid w:val="0026733A"/>
    <w:rsid w:val="002675E8"/>
    <w:rsid w:val="00270251"/>
    <w:rsid w:val="00272EFA"/>
    <w:rsid w:val="00273A4D"/>
    <w:rsid w:val="00275963"/>
    <w:rsid w:val="00275D4C"/>
    <w:rsid w:val="00276C16"/>
    <w:rsid w:val="00277E8B"/>
    <w:rsid w:val="00282798"/>
    <w:rsid w:val="00284310"/>
    <w:rsid w:val="00284AB6"/>
    <w:rsid w:val="0028733F"/>
    <w:rsid w:val="00292D95"/>
    <w:rsid w:val="00293DCE"/>
    <w:rsid w:val="002A1384"/>
    <w:rsid w:val="002B3332"/>
    <w:rsid w:val="002B6FA7"/>
    <w:rsid w:val="002B78FF"/>
    <w:rsid w:val="002C4EE7"/>
    <w:rsid w:val="002C55A6"/>
    <w:rsid w:val="002D15C1"/>
    <w:rsid w:val="002D3314"/>
    <w:rsid w:val="002D3837"/>
    <w:rsid w:val="002D658C"/>
    <w:rsid w:val="002D719A"/>
    <w:rsid w:val="002D7463"/>
    <w:rsid w:val="002E06BB"/>
    <w:rsid w:val="002E1707"/>
    <w:rsid w:val="002E43CC"/>
    <w:rsid w:val="002E4888"/>
    <w:rsid w:val="002E724A"/>
    <w:rsid w:val="002E7307"/>
    <w:rsid w:val="002F2181"/>
    <w:rsid w:val="002F4F7C"/>
    <w:rsid w:val="002F53D8"/>
    <w:rsid w:val="002F58C6"/>
    <w:rsid w:val="002F6DE6"/>
    <w:rsid w:val="003069E9"/>
    <w:rsid w:val="00311861"/>
    <w:rsid w:val="003128FF"/>
    <w:rsid w:val="003130AB"/>
    <w:rsid w:val="0031499B"/>
    <w:rsid w:val="003151CF"/>
    <w:rsid w:val="0031619A"/>
    <w:rsid w:val="00324BA9"/>
    <w:rsid w:val="00325620"/>
    <w:rsid w:val="00325659"/>
    <w:rsid w:val="00325FBA"/>
    <w:rsid w:val="00327D74"/>
    <w:rsid w:val="00330CBC"/>
    <w:rsid w:val="003333B8"/>
    <w:rsid w:val="00340036"/>
    <w:rsid w:val="0034347D"/>
    <w:rsid w:val="00343EE2"/>
    <w:rsid w:val="00344364"/>
    <w:rsid w:val="00344613"/>
    <w:rsid w:val="00344D98"/>
    <w:rsid w:val="0034650D"/>
    <w:rsid w:val="003509EF"/>
    <w:rsid w:val="003514F5"/>
    <w:rsid w:val="003531F3"/>
    <w:rsid w:val="0035374A"/>
    <w:rsid w:val="00354A9F"/>
    <w:rsid w:val="00356D8E"/>
    <w:rsid w:val="00357569"/>
    <w:rsid w:val="0035767F"/>
    <w:rsid w:val="003612BC"/>
    <w:rsid w:val="00361888"/>
    <w:rsid w:val="00362C5C"/>
    <w:rsid w:val="0036387D"/>
    <w:rsid w:val="00363D26"/>
    <w:rsid w:val="00364ADC"/>
    <w:rsid w:val="00366AE0"/>
    <w:rsid w:val="00370197"/>
    <w:rsid w:val="00370208"/>
    <w:rsid w:val="00372B0D"/>
    <w:rsid w:val="003737F1"/>
    <w:rsid w:val="0037505C"/>
    <w:rsid w:val="00376866"/>
    <w:rsid w:val="003808BE"/>
    <w:rsid w:val="00381BDB"/>
    <w:rsid w:val="00382B12"/>
    <w:rsid w:val="00384E16"/>
    <w:rsid w:val="00387EA0"/>
    <w:rsid w:val="0039498F"/>
    <w:rsid w:val="00394D37"/>
    <w:rsid w:val="00395309"/>
    <w:rsid w:val="003A05A3"/>
    <w:rsid w:val="003A10AF"/>
    <w:rsid w:val="003A15C1"/>
    <w:rsid w:val="003A15EF"/>
    <w:rsid w:val="003A1BAF"/>
    <w:rsid w:val="003A4719"/>
    <w:rsid w:val="003A6D85"/>
    <w:rsid w:val="003A7965"/>
    <w:rsid w:val="003B0AE0"/>
    <w:rsid w:val="003B3706"/>
    <w:rsid w:val="003B3AA0"/>
    <w:rsid w:val="003B49E4"/>
    <w:rsid w:val="003B5A4F"/>
    <w:rsid w:val="003B5D96"/>
    <w:rsid w:val="003C08FB"/>
    <w:rsid w:val="003C2CE7"/>
    <w:rsid w:val="003C44F2"/>
    <w:rsid w:val="003C6132"/>
    <w:rsid w:val="003C68EF"/>
    <w:rsid w:val="003C7C66"/>
    <w:rsid w:val="003C7DDF"/>
    <w:rsid w:val="003E0074"/>
    <w:rsid w:val="003E05AE"/>
    <w:rsid w:val="003E2ACA"/>
    <w:rsid w:val="003E2E08"/>
    <w:rsid w:val="003E313B"/>
    <w:rsid w:val="003E4031"/>
    <w:rsid w:val="003E453A"/>
    <w:rsid w:val="003E5694"/>
    <w:rsid w:val="003E57C4"/>
    <w:rsid w:val="003E6004"/>
    <w:rsid w:val="003E644B"/>
    <w:rsid w:val="003F27A7"/>
    <w:rsid w:val="003F2DBA"/>
    <w:rsid w:val="003F7CC9"/>
    <w:rsid w:val="00400337"/>
    <w:rsid w:val="00401549"/>
    <w:rsid w:val="00402D57"/>
    <w:rsid w:val="00407E3A"/>
    <w:rsid w:val="00411F9D"/>
    <w:rsid w:val="0041301D"/>
    <w:rsid w:val="004135DC"/>
    <w:rsid w:val="0041362A"/>
    <w:rsid w:val="004138F9"/>
    <w:rsid w:val="00417056"/>
    <w:rsid w:val="0041729D"/>
    <w:rsid w:val="004178D5"/>
    <w:rsid w:val="00417EA1"/>
    <w:rsid w:val="00423CA2"/>
    <w:rsid w:val="00424B89"/>
    <w:rsid w:val="004273AB"/>
    <w:rsid w:val="00433700"/>
    <w:rsid w:val="00440903"/>
    <w:rsid w:val="00440FEA"/>
    <w:rsid w:val="00441218"/>
    <w:rsid w:val="00450E81"/>
    <w:rsid w:val="004522D4"/>
    <w:rsid w:val="00452738"/>
    <w:rsid w:val="00454BE4"/>
    <w:rsid w:val="00457CE5"/>
    <w:rsid w:val="00465558"/>
    <w:rsid w:val="004703AD"/>
    <w:rsid w:val="00470460"/>
    <w:rsid w:val="00471B56"/>
    <w:rsid w:val="00472057"/>
    <w:rsid w:val="00475E11"/>
    <w:rsid w:val="00476ADE"/>
    <w:rsid w:val="0047762B"/>
    <w:rsid w:val="004833F6"/>
    <w:rsid w:val="0048354C"/>
    <w:rsid w:val="0048420E"/>
    <w:rsid w:val="0048487F"/>
    <w:rsid w:val="00485271"/>
    <w:rsid w:val="00486B7C"/>
    <w:rsid w:val="00486E97"/>
    <w:rsid w:val="004872E5"/>
    <w:rsid w:val="00487DE2"/>
    <w:rsid w:val="0049191A"/>
    <w:rsid w:val="00495CD7"/>
    <w:rsid w:val="004A106D"/>
    <w:rsid w:val="004A1F94"/>
    <w:rsid w:val="004A249C"/>
    <w:rsid w:val="004A2CFF"/>
    <w:rsid w:val="004A3528"/>
    <w:rsid w:val="004A373C"/>
    <w:rsid w:val="004B037F"/>
    <w:rsid w:val="004B32EE"/>
    <w:rsid w:val="004B3540"/>
    <w:rsid w:val="004B605C"/>
    <w:rsid w:val="004B79DA"/>
    <w:rsid w:val="004C03C1"/>
    <w:rsid w:val="004C0C07"/>
    <w:rsid w:val="004C0E68"/>
    <w:rsid w:val="004C3FCC"/>
    <w:rsid w:val="004C528F"/>
    <w:rsid w:val="004C6407"/>
    <w:rsid w:val="004C7B77"/>
    <w:rsid w:val="004D3512"/>
    <w:rsid w:val="004D54C6"/>
    <w:rsid w:val="004D6736"/>
    <w:rsid w:val="004D70A4"/>
    <w:rsid w:val="004D7F4D"/>
    <w:rsid w:val="004E07C1"/>
    <w:rsid w:val="004E0F63"/>
    <w:rsid w:val="004E56F1"/>
    <w:rsid w:val="004E74AE"/>
    <w:rsid w:val="004E7ED7"/>
    <w:rsid w:val="004F012B"/>
    <w:rsid w:val="004F060D"/>
    <w:rsid w:val="004F09E4"/>
    <w:rsid w:val="004F428A"/>
    <w:rsid w:val="004F5731"/>
    <w:rsid w:val="00500500"/>
    <w:rsid w:val="00501E73"/>
    <w:rsid w:val="005033E0"/>
    <w:rsid w:val="00506CCD"/>
    <w:rsid w:val="00507A9F"/>
    <w:rsid w:val="00513819"/>
    <w:rsid w:val="00513CE2"/>
    <w:rsid w:val="0051471F"/>
    <w:rsid w:val="00515CFA"/>
    <w:rsid w:val="00520A9C"/>
    <w:rsid w:val="0052254D"/>
    <w:rsid w:val="005260C7"/>
    <w:rsid w:val="00526323"/>
    <w:rsid w:val="0053215F"/>
    <w:rsid w:val="00532282"/>
    <w:rsid w:val="00532D1D"/>
    <w:rsid w:val="0053770B"/>
    <w:rsid w:val="00541D46"/>
    <w:rsid w:val="00542904"/>
    <w:rsid w:val="0054450B"/>
    <w:rsid w:val="00544859"/>
    <w:rsid w:val="005478DB"/>
    <w:rsid w:val="00551749"/>
    <w:rsid w:val="0055394D"/>
    <w:rsid w:val="00560409"/>
    <w:rsid w:val="00560BE0"/>
    <w:rsid w:val="00561EA6"/>
    <w:rsid w:val="00562B5D"/>
    <w:rsid w:val="00563E10"/>
    <w:rsid w:val="00564B72"/>
    <w:rsid w:val="00564BD1"/>
    <w:rsid w:val="005667B4"/>
    <w:rsid w:val="00566AE8"/>
    <w:rsid w:val="00567ABA"/>
    <w:rsid w:val="00571ACC"/>
    <w:rsid w:val="005720DC"/>
    <w:rsid w:val="0057238F"/>
    <w:rsid w:val="00576D87"/>
    <w:rsid w:val="0058041E"/>
    <w:rsid w:val="00581881"/>
    <w:rsid w:val="00582EC0"/>
    <w:rsid w:val="0058472C"/>
    <w:rsid w:val="00585016"/>
    <w:rsid w:val="005857D4"/>
    <w:rsid w:val="0058641B"/>
    <w:rsid w:val="00587668"/>
    <w:rsid w:val="00587B08"/>
    <w:rsid w:val="0059097A"/>
    <w:rsid w:val="00591819"/>
    <w:rsid w:val="0059450E"/>
    <w:rsid w:val="00594DF1"/>
    <w:rsid w:val="00595090"/>
    <w:rsid w:val="0059726F"/>
    <w:rsid w:val="005A00BD"/>
    <w:rsid w:val="005A0C36"/>
    <w:rsid w:val="005A136B"/>
    <w:rsid w:val="005A5A64"/>
    <w:rsid w:val="005B244D"/>
    <w:rsid w:val="005B2ADD"/>
    <w:rsid w:val="005B4276"/>
    <w:rsid w:val="005B439E"/>
    <w:rsid w:val="005B50F9"/>
    <w:rsid w:val="005C044C"/>
    <w:rsid w:val="005C0F6F"/>
    <w:rsid w:val="005C1F62"/>
    <w:rsid w:val="005C235E"/>
    <w:rsid w:val="005C34CE"/>
    <w:rsid w:val="005C3ED3"/>
    <w:rsid w:val="005C6104"/>
    <w:rsid w:val="005D00F0"/>
    <w:rsid w:val="005D0CFB"/>
    <w:rsid w:val="005D1D22"/>
    <w:rsid w:val="005D4A54"/>
    <w:rsid w:val="005D65C2"/>
    <w:rsid w:val="005D7385"/>
    <w:rsid w:val="005E0A6B"/>
    <w:rsid w:val="005E2E7E"/>
    <w:rsid w:val="005E3864"/>
    <w:rsid w:val="005E6F3E"/>
    <w:rsid w:val="005E7BD2"/>
    <w:rsid w:val="005F229F"/>
    <w:rsid w:val="005F274A"/>
    <w:rsid w:val="005F4CA5"/>
    <w:rsid w:val="005F55E3"/>
    <w:rsid w:val="005F70E8"/>
    <w:rsid w:val="00601631"/>
    <w:rsid w:val="006022E7"/>
    <w:rsid w:val="00604C59"/>
    <w:rsid w:val="00606225"/>
    <w:rsid w:val="00610866"/>
    <w:rsid w:val="006108FF"/>
    <w:rsid w:val="00614C68"/>
    <w:rsid w:val="006150D7"/>
    <w:rsid w:val="00616526"/>
    <w:rsid w:val="00623A55"/>
    <w:rsid w:val="00623A88"/>
    <w:rsid w:val="00632E4E"/>
    <w:rsid w:val="00634EAA"/>
    <w:rsid w:val="006379A1"/>
    <w:rsid w:val="0064032E"/>
    <w:rsid w:val="00640520"/>
    <w:rsid w:val="00642C32"/>
    <w:rsid w:val="00643CBB"/>
    <w:rsid w:val="00645BD2"/>
    <w:rsid w:val="00646079"/>
    <w:rsid w:val="00647674"/>
    <w:rsid w:val="00650834"/>
    <w:rsid w:val="00650D8D"/>
    <w:rsid w:val="006520F6"/>
    <w:rsid w:val="00655715"/>
    <w:rsid w:val="00656920"/>
    <w:rsid w:val="00656E51"/>
    <w:rsid w:val="00656EE8"/>
    <w:rsid w:val="00657F92"/>
    <w:rsid w:val="00662A6B"/>
    <w:rsid w:val="0066464E"/>
    <w:rsid w:val="006660AA"/>
    <w:rsid w:val="0067007E"/>
    <w:rsid w:val="00673F45"/>
    <w:rsid w:val="00680BA1"/>
    <w:rsid w:val="00680CB6"/>
    <w:rsid w:val="00681A87"/>
    <w:rsid w:val="00683B9D"/>
    <w:rsid w:val="0068479A"/>
    <w:rsid w:val="006864F1"/>
    <w:rsid w:val="006901D6"/>
    <w:rsid w:val="00690DDB"/>
    <w:rsid w:val="0069391B"/>
    <w:rsid w:val="006A0099"/>
    <w:rsid w:val="006A21CB"/>
    <w:rsid w:val="006A4810"/>
    <w:rsid w:val="006A4BDC"/>
    <w:rsid w:val="006A737F"/>
    <w:rsid w:val="006B1CEA"/>
    <w:rsid w:val="006B242F"/>
    <w:rsid w:val="006B3DA3"/>
    <w:rsid w:val="006B4C22"/>
    <w:rsid w:val="006B7640"/>
    <w:rsid w:val="006C0DC5"/>
    <w:rsid w:val="006C3330"/>
    <w:rsid w:val="006C708F"/>
    <w:rsid w:val="006C7CD9"/>
    <w:rsid w:val="006D12F3"/>
    <w:rsid w:val="006D158C"/>
    <w:rsid w:val="006D188C"/>
    <w:rsid w:val="006D32EF"/>
    <w:rsid w:val="006D3716"/>
    <w:rsid w:val="006D4397"/>
    <w:rsid w:val="006D58F4"/>
    <w:rsid w:val="006E05FA"/>
    <w:rsid w:val="006E0A02"/>
    <w:rsid w:val="006E41EA"/>
    <w:rsid w:val="006F051A"/>
    <w:rsid w:val="006F180D"/>
    <w:rsid w:val="006F3BD8"/>
    <w:rsid w:val="006F43D3"/>
    <w:rsid w:val="00703182"/>
    <w:rsid w:val="00703662"/>
    <w:rsid w:val="007036F6"/>
    <w:rsid w:val="00704805"/>
    <w:rsid w:val="00705E56"/>
    <w:rsid w:val="00706568"/>
    <w:rsid w:val="00707BA1"/>
    <w:rsid w:val="0071004F"/>
    <w:rsid w:val="007103AA"/>
    <w:rsid w:val="00714C33"/>
    <w:rsid w:val="00714CCA"/>
    <w:rsid w:val="007151DA"/>
    <w:rsid w:val="00716D8C"/>
    <w:rsid w:val="007238C1"/>
    <w:rsid w:val="0073015B"/>
    <w:rsid w:val="0073516B"/>
    <w:rsid w:val="00735AD3"/>
    <w:rsid w:val="007366E6"/>
    <w:rsid w:val="007405E1"/>
    <w:rsid w:val="0074202B"/>
    <w:rsid w:val="00742B34"/>
    <w:rsid w:val="00743B2B"/>
    <w:rsid w:val="0074469B"/>
    <w:rsid w:val="007459A8"/>
    <w:rsid w:val="00746A63"/>
    <w:rsid w:val="00747E23"/>
    <w:rsid w:val="00751574"/>
    <w:rsid w:val="00752E99"/>
    <w:rsid w:val="00753538"/>
    <w:rsid w:val="0075500B"/>
    <w:rsid w:val="00756C7D"/>
    <w:rsid w:val="00757512"/>
    <w:rsid w:val="00761350"/>
    <w:rsid w:val="007616A1"/>
    <w:rsid w:val="007616BE"/>
    <w:rsid w:val="0076229E"/>
    <w:rsid w:val="00762DC3"/>
    <w:rsid w:val="00765009"/>
    <w:rsid w:val="007651DE"/>
    <w:rsid w:val="007657A3"/>
    <w:rsid w:val="00774A88"/>
    <w:rsid w:val="007751F8"/>
    <w:rsid w:val="0077751D"/>
    <w:rsid w:val="00785781"/>
    <w:rsid w:val="0079094F"/>
    <w:rsid w:val="00790A31"/>
    <w:rsid w:val="007920EE"/>
    <w:rsid w:val="0079510A"/>
    <w:rsid w:val="0079661C"/>
    <w:rsid w:val="007A0EC4"/>
    <w:rsid w:val="007A2133"/>
    <w:rsid w:val="007A2252"/>
    <w:rsid w:val="007A2C01"/>
    <w:rsid w:val="007A4BB2"/>
    <w:rsid w:val="007B097C"/>
    <w:rsid w:val="007B25C6"/>
    <w:rsid w:val="007B3982"/>
    <w:rsid w:val="007B59C3"/>
    <w:rsid w:val="007B6975"/>
    <w:rsid w:val="007B7384"/>
    <w:rsid w:val="007B7D18"/>
    <w:rsid w:val="007C1EB3"/>
    <w:rsid w:val="007C25E3"/>
    <w:rsid w:val="007C48C5"/>
    <w:rsid w:val="007C4A0C"/>
    <w:rsid w:val="007C61D9"/>
    <w:rsid w:val="007C68F8"/>
    <w:rsid w:val="007D0984"/>
    <w:rsid w:val="007D169B"/>
    <w:rsid w:val="007D2310"/>
    <w:rsid w:val="007D3630"/>
    <w:rsid w:val="007D383F"/>
    <w:rsid w:val="007D433E"/>
    <w:rsid w:val="007D7751"/>
    <w:rsid w:val="007D7B83"/>
    <w:rsid w:val="007E0FFF"/>
    <w:rsid w:val="007E5FF0"/>
    <w:rsid w:val="007E7CF6"/>
    <w:rsid w:val="007F124D"/>
    <w:rsid w:val="007F3566"/>
    <w:rsid w:val="007F426A"/>
    <w:rsid w:val="007F72E4"/>
    <w:rsid w:val="00800A33"/>
    <w:rsid w:val="008016E9"/>
    <w:rsid w:val="008016EB"/>
    <w:rsid w:val="008039E7"/>
    <w:rsid w:val="00804321"/>
    <w:rsid w:val="008043F6"/>
    <w:rsid w:val="008045D2"/>
    <w:rsid w:val="00804C1E"/>
    <w:rsid w:val="00807B9A"/>
    <w:rsid w:val="00811815"/>
    <w:rsid w:val="00813CA1"/>
    <w:rsid w:val="008145C6"/>
    <w:rsid w:val="0081692F"/>
    <w:rsid w:val="008179C5"/>
    <w:rsid w:val="00820376"/>
    <w:rsid w:val="00821F7F"/>
    <w:rsid w:val="00823F5D"/>
    <w:rsid w:val="008248BB"/>
    <w:rsid w:val="00825D94"/>
    <w:rsid w:val="008274C4"/>
    <w:rsid w:val="008305F3"/>
    <w:rsid w:val="00833D69"/>
    <w:rsid w:val="00834065"/>
    <w:rsid w:val="008371EC"/>
    <w:rsid w:val="00841089"/>
    <w:rsid w:val="008449AA"/>
    <w:rsid w:val="00844C41"/>
    <w:rsid w:val="008453ED"/>
    <w:rsid w:val="0084650E"/>
    <w:rsid w:val="00847902"/>
    <w:rsid w:val="00851204"/>
    <w:rsid w:val="008530B1"/>
    <w:rsid w:val="00853557"/>
    <w:rsid w:val="008626AF"/>
    <w:rsid w:val="00863F93"/>
    <w:rsid w:val="008648FE"/>
    <w:rsid w:val="00867045"/>
    <w:rsid w:val="008709DE"/>
    <w:rsid w:val="00871FAF"/>
    <w:rsid w:val="008748EB"/>
    <w:rsid w:val="00874B87"/>
    <w:rsid w:val="00874D10"/>
    <w:rsid w:val="00875110"/>
    <w:rsid w:val="0088044C"/>
    <w:rsid w:val="00880A71"/>
    <w:rsid w:val="008925E1"/>
    <w:rsid w:val="008951EF"/>
    <w:rsid w:val="0089590B"/>
    <w:rsid w:val="008960AC"/>
    <w:rsid w:val="00897F91"/>
    <w:rsid w:val="008A1F6B"/>
    <w:rsid w:val="008A3C23"/>
    <w:rsid w:val="008A46D2"/>
    <w:rsid w:val="008A5E00"/>
    <w:rsid w:val="008A7CCD"/>
    <w:rsid w:val="008B05A0"/>
    <w:rsid w:val="008B0878"/>
    <w:rsid w:val="008B303A"/>
    <w:rsid w:val="008B397C"/>
    <w:rsid w:val="008B434D"/>
    <w:rsid w:val="008B7537"/>
    <w:rsid w:val="008C11D7"/>
    <w:rsid w:val="008C19CD"/>
    <w:rsid w:val="008C1DFB"/>
    <w:rsid w:val="008C3093"/>
    <w:rsid w:val="008C4003"/>
    <w:rsid w:val="008C4682"/>
    <w:rsid w:val="008C4865"/>
    <w:rsid w:val="008C4D00"/>
    <w:rsid w:val="008C6942"/>
    <w:rsid w:val="008C6B0D"/>
    <w:rsid w:val="008C7C4E"/>
    <w:rsid w:val="008D0513"/>
    <w:rsid w:val="008D0F7B"/>
    <w:rsid w:val="008E18CE"/>
    <w:rsid w:val="008E1A00"/>
    <w:rsid w:val="008E3394"/>
    <w:rsid w:val="008E3EAA"/>
    <w:rsid w:val="008E4682"/>
    <w:rsid w:val="008E6260"/>
    <w:rsid w:val="008E7C92"/>
    <w:rsid w:val="008F193A"/>
    <w:rsid w:val="008F4135"/>
    <w:rsid w:val="008F6C5E"/>
    <w:rsid w:val="008F7B26"/>
    <w:rsid w:val="00900DC5"/>
    <w:rsid w:val="0090534E"/>
    <w:rsid w:val="00907DA5"/>
    <w:rsid w:val="00914495"/>
    <w:rsid w:val="00914F22"/>
    <w:rsid w:val="00915EE0"/>
    <w:rsid w:val="009206F6"/>
    <w:rsid w:val="009211AD"/>
    <w:rsid w:val="0092130A"/>
    <w:rsid w:val="00921425"/>
    <w:rsid w:val="009214B6"/>
    <w:rsid w:val="00924627"/>
    <w:rsid w:val="00924AA5"/>
    <w:rsid w:val="00931509"/>
    <w:rsid w:val="0093154B"/>
    <w:rsid w:val="00935BDA"/>
    <w:rsid w:val="00937F3F"/>
    <w:rsid w:val="00940367"/>
    <w:rsid w:val="00945A5C"/>
    <w:rsid w:val="0094661B"/>
    <w:rsid w:val="00946700"/>
    <w:rsid w:val="0094747C"/>
    <w:rsid w:val="00947989"/>
    <w:rsid w:val="00952A50"/>
    <w:rsid w:val="00952F27"/>
    <w:rsid w:val="009538D5"/>
    <w:rsid w:val="0095467F"/>
    <w:rsid w:val="00954D1B"/>
    <w:rsid w:val="009553FE"/>
    <w:rsid w:val="00956CEA"/>
    <w:rsid w:val="009629DB"/>
    <w:rsid w:val="009711A5"/>
    <w:rsid w:val="00972104"/>
    <w:rsid w:val="00972342"/>
    <w:rsid w:val="00972B4A"/>
    <w:rsid w:val="00975DEB"/>
    <w:rsid w:val="0097629C"/>
    <w:rsid w:val="00977AE3"/>
    <w:rsid w:val="00980F66"/>
    <w:rsid w:val="009815C3"/>
    <w:rsid w:val="0098221D"/>
    <w:rsid w:val="00982BAF"/>
    <w:rsid w:val="00983D58"/>
    <w:rsid w:val="00983E11"/>
    <w:rsid w:val="009869CD"/>
    <w:rsid w:val="00987CEE"/>
    <w:rsid w:val="0099276D"/>
    <w:rsid w:val="00992F3F"/>
    <w:rsid w:val="00994D08"/>
    <w:rsid w:val="00994EB9"/>
    <w:rsid w:val="00996A74"/>
    <w:rsid w:val="00997B2A"/>
    <w:rsid w:val="009A4097"/>
    <w:rsid w:val="009A4246"/>
    <w:rsid w:val="009A5C3A"/>
    <w:rsid w:val="009A6799"/>
    <w:rsid w:val="009B10EE"/>
    <w:rsid w:val="009B2E7A"/>
    <w:rsid w:val="009B6518"/>
    <w:rsid w:val="009B6BEB"/>
    <w:rsid w:val="009B788C"/>
    <w:rsid w:val="009B79F2"/>
    <w:rsid w:val="009B7A9E"/>
    <w:rsid w:val="009C4F2B"/>
    <w:rsid w:val="009D1955"/>
    <w:rsid w:val="009D41DF"/>
    <w:rsid w:val="009D4C2B"/>
    <w:rsid w:val="009D7575"/>
    <w:rsid w:val="009E1B7C"/>
    <w:rsid w:val="009E2CD0"/>
    <w:rsid w:val="009E3141"/>
    <w:rsid w:val="009E4D6F"/>
    <w:rsid w:val="009F4227"/>
    <w:rsid w:val="009F5236"/>
    <w:rsid w:val="009F53F0"/>
    <w:rsid w:val="009F5C7F"/>
    <w:rsid w:val="009F6430"/>
    <w:rsid w:val="009F750E"/>
    <w:rsid w:val="009F7BE1"/>
    <w:rsid w:val="00A00AE7"/>
    <w:rsid w:val="00A03D1F"/>
    <w:rsid w:val="00A044FB"/>
    <w:rsid w:val="00A0564F"/>
    <w:rsid w:val="00A0613C"/>
    <w:rsid w:val="00A1021D"/>
    <w:rsid w:val="00A1112D"/>
    <w:rsid w:val="00A143C1"/>
    <w:rsid w:val="00A15F31"/>
    <w:rsid w:val="00A16103"/>
    <w:rsid w:val="00A16675"/>
    <w:rsid w:val="00A21531"/>
    <w:rsid w:val="00A22D8A"/>
    <w:rsid w:val="00A2387A"/>
    <w:rsid w:val="00A3126E"/>
    <w:rsid w:val="00A3218F"/>
    <w:rsid w:val="00A32914"/>
    <w:rsid w:val="00A34637"/>
    <w:rsid w:val="00A4112D"/>
    <w:rsid w:val="00A44F0C"/>
    <w:rsid w:val="00A4600C"/>
    <w:rsid w:val="00A509D0"/>
    <w:rsid w:val="00A53FFF"/>
    <w:rsid w:val="00A578BF"/>
    <w:rsid w:val="00A6085D"/>
    <w:rsid w:val="00A60F57"/>
    <w:rsid w:val="00A62904"/>
    <w:rsid w:val="00A635FC"/>
    <w:rsid w:val="00A663A7"/>
    <w:rsid w:val="00A6707B"/>
    <w:rsid w:val="00A67A00"/>
    <w:rsid w:val="00A67CC6"/>
    <w:rsid w:val="00A712D4"/>
    <w:rsid w:val="00A72356"/>
    <w:rsid w:val="00A7250F"/>
    <w:rsid w:val="00A72788"/>
    <w:rsid w:val="00A75660"/>
    <w:rsid w:val="00A805DC"/>
    <w:rsid w:val="00A80791"/>
    <w:rsid w:val="00A827AA"/>
    <w:rsid w:val="00A85C81"/>
    <w:rsid w:val="00A914EF"/>
    <w:rsid w:val="00A9282A"/>
    <w:rsid w:val="00A93EFE"/>
    <w:rsid w:val="00A94190"/>
    <w:rsid w:val="00A950BF"/>
    <w:rsid w:val="00A95DED"/>
    <w:rsid w:val="00A97F39"/>
    <w:rsid w:val="00AA014B"/>
    <w:rsid w:val="00AA1B52"/>
    <w:rsid w:val="00AA3FF6"/>
    <w:rsid w:val="00AB09A0"/>
    <w:rsid w:val="00AB09FF"/>
    <w:rsid w:val="00AB0E51"/>
    <w:rsid w:val="00AB0FEB"/>
    <w:rsid w:val="00AB23EC"/>
    <w:rsid w:val="00AB25DA"/>
    <w:rsid w:val="00AB427D"/>
    <w:rsid w:val="00AB62BC"/>
    <w:rsid w:val="00AC1303"/>
    <w:rsid w:val="00AC21F3"/>
    <w:rsid w:val="00AC23B2"/>
    <w:rsid w:val="00AC50A6"/>
    <w:rsid w:val="00AD2080"/>
    <w:rsid w:val="00AD50F0"/>
    <w:rsid w:val="00AD6E60"/>
    <w:rsid w:val="00AE4035"/>
    <w:rsid w:val="00AF0133"/>
    <w:rsid w:val="00AF0374"/>
    <w:rsid w:val="00AF064D"/>
    <w:rsid w:val="00AF279C"/>
    <w:rsid w:val="00AF28F1"/>
    <w:rsid w:val="00AF54A3"/>
    <w:rsid w:val="00AF653D"/>
    <w:rsid w:val="00AF73CB"/>
    <w:rsid w:val="00AF742D"/>
    <w:rsid w:val="00AF7578"/>
    <w:rsid w:val="00B01818"/>
    <w:rsid w:val="00B0704D"/>
    <w:rsid w:val="00B20A33"/>
    <w:rsid w:val="00B21088"/>
    <w:rsid w:val="00B22585"/>
    <w:rsid w:val="00B249BE"/>
    <w:rsid w:val="00B26173"/>
    <w:rsid w:val="00B3062F"/>
    <w:rsid w:val="00B31411"/>
    <w:rsid w:val="00B31567"/>
    <w:rsid w:val="00B36665"/>
    <w:rsid w:val="00B37F4A"/>
    <w:rsid w:val="00B41EF0"/>
    <w:rsid w:val="00B438F7"/>
    <w:rsid w:val="00B445B7"/>
    <w:rsid w:val="00B456A1"/>
    <w:rsid w:val="00B46E85"/>
    <w:rsid w:val="00B548B3"/>
    <w:rsid w:val="00B55C0B"/>
    <w:rsid w:val="00B631F2"/>
    <w:rsid w:val="00B6541A"/>
    <w:rsid w:val="00B660A0"/>
    <w:rsid w:val="00B66C10"/>
    <w:rsid w:val="00B67775"/>
    <w:rsid w:val="00B7190E"/>
    <w:rsid w:val="00B74C64"/>
    <w:rsid w:val="00B76898"/>
    <w:rsid w:val="00B7763D"/>
    <w:rsid w:val="00B777AC"/>
    <w:rsid w:val="00B80E12"/>
    <w:rsid w:val="00B80F32"/>
    <w:rsid w:val="00B83301"/>
    <w:rsid w:val="00B85B9F"/>
    <w:rsid w:val="00B86D6D"/>
    <w:rsid w:val="00B87D73"/>
    <w:rsid w:val="00B91286"/>
    <w:rsid w:val="00B924A5"/>
    <w:rsid w:val="00B932A1"/>
    <w:rsid w:val="00B93CB0"/>
    <w:rsid w:val="00B94552"/>
    <w:rsid w:val="00B94B1C"/>
    <w:rsid w:val="00B954DF"/>
    <w:rsid w:val="00B958A9"/>
    <w:rsid w:val="00B962ED"/>
    <w:rsid w:val="00B96D0F"/>
    <w:rsid w:val="00BA080D"/>
    <w:rsid w:val="00BA0ED6"/>
    <w:rsid w:val="00BA430F"/>
    <w:rsid w:val="00BA7B21"/>
    <w:rsid w:val="00BB080D"/>
    <w:rsid w:val="00BB0E48"/>
    <w:rsid w:val="00BB137A"/>
    <w:rsid w:val="00BB2374"/>
    <w:rsid w:val="00BB4947"/>
    <w:rsid w:val="00BB49E4"/>
    <w:rsid w:val="00BB69C8"/>
    <w:rsid w:val="00BC05F3"/>
    <w:rsid w:val="00BC0C70"/>
    <w:rsid w:val="00BC4A33"/>
    <w:rsid w:val="00BC5F24"/>
    <w:rsid w:val="00BC72C5"/>
    <w:rsid w:val="00BC73FA"/>
    <w:rsid w:val="00BC7F19"/>
    <w:rsid w:val="00BD1C11"/>
    <w:rsid w:val="00BD368A"/>
    <w:rsid w:val="00BD4507"/>
    <w:rsid w:val="00BD4676"/>
    <w:rsid w:val="00BD599E"/>
    <w:rsid w:val="00BD5F56"/>
    <w:rsid w:val="00BD71AE"/>
    <w:rsid w:val="00BD722B"/>
    <w:rsid w:val="00BE0093"/>
    <w:rsid w:val="00BE0B53"/>
    <w:rsid w:val="00BE1E1B"/>
    <w:rsid w:val="00BE4FA6"/>
    <w:rsid w:val="00BE7361"/>
    <w:rsid w:val="00BF0B9F"/>
    <w:rsid w:val="00BF2D19"/>
    <w:rsid w:val="00BF340B"/>
    <w:rsid w:val="00BF53F2"/>
    <w:rsid w:val="00BF65E7"/>
    <w:rsid w:val="00BF7880"/>
    <w:rsid w:val="00BF7FD6"/>
    <w:rsid w:val="00C0061F"/>
    <w:rsid w:val="00C15C32"/>
    <w:rsid w:val="00C160CF"/>
    <w:rsid w:val="00C170F7"/>
    <w:rsid w:val="00C17BFA"/>
    <w:rsid w:val="00C226A8"/>
    <w:rsid w:val="00C23AAC"/>
    <w:rsid w:val="00C23D52"/>
    <w:rsid w:val="00C26603"/>
    <w:rsid w:val="00C270B1"/>
    <w:rsid w:val="00C305F6"/>
    <w:rsid w:val="00C31877"/>
    <w:rsid w:val="00C31E75"/>
    <w:rsid w:val="00C35398"/>
    <w:rsid w:val="00C43CE4"/>
    <w:rsid w:val="00C50AEB"/>
    <w:rsid w:val="00C50DC8"/>
    <w:rsid w:val="00C51560"/>
    <w:rsid w:val="00C56E1B"/>
    <w:rsid w:val="00C57158"/>
    <w:rsid w:val="00C62E10"/>
    <w:rsid w:val="00C63208"/>
    <w:rsid w:val="00C649BB"/>
    <w:rsid w:val="00C66270"/>
    <w:rsid w:val="00C6711F"/>
    <w:rsid w:val="00C678A3"/>
    <w:rsid w:val="00C70179"/>
    <w:rsid w:val="00C71403"/>
    <w:rsid w:val="00C72FC4"/>
    <w:rsid w:val="00C84AF6"/>
    <w:rsid w:val="00C90CEF"/>
    <w:rsid w:val="00C936B2"/>
    <w:rsid w:val="00C971E7"/>
    <w:rsid w:val="00CA05B0"/>
    <w:rsid w:val="00CA2851"/>
    <w:rsid w:val="00CA4983"/>
    <w:rsid w:val="00CA607C"/>
    <w:rsid w:val="00CB3314"/>
    <w:rsid w:val="00CB508F"/>
    <w:rsid w:val="00CB52F3"/>
    <w:rsid w:val="00CC03B0"/>
    <w:rsid w:val="00CC0B9F"/>
    <w:rsid w:val="00CC1EEF"/>
    <w:rsid w:val="00CC54C6"/>
    <w:rsid w:val="00CC5D1A"/>
    <w:rsid w:val="00CC71EB"/>
    <w:rsid w:val="00CD2305"/>
    <w:rsid w:val="00CD44E1"/>
    <w:rsid w:val="00CD6F56"/>
    <w:rsid w:val="00CE24AA"/>
    <w:rsid w:val="00CE3427"/>
    <w:rsid w:val="00CF0D98"/>
    <w:rsid w:val="00CF6FB6"/>
    <w:rsid w:val="00D02A12"/>
    <w:rsid w:val="00D02AD5"/>
    <w:rsid w:val="00D036BB"/>
    <w:rsid w:val="00D03EE3"/>
    <w:rsid w:val="00D16394"/>
    <w:rsid w:val="00D24BB6"/>
    <w:rsid w:val="00D25905"/>
    <w:rsid w:val="00D36C8F"/>
    <w:rsid w:val="00D41EB0"/>
    <w:rsid w:val="00D42D4E"/>
    <w:rsid w:val="00D43175"/>
    <w:rsid w:val="00D43C45"/>
    <w:rsid w:val="00D464C5"/>
    <w:rsid w:val="00D47425"/>
    <w:rsid w:val="00D51753"/>
    <w:rsid w:val="00D557A3"/>
    <w:rsid w:val="00D56438"/>
    <w:rsid w:val="00D605F2"/>
    <w:rsid w:val="00D60D29"/>
    <w:rsid w:val="00D614BC"/>
    <w:rsid w:val="00D63009"/>
    <w:rsid w:val="00D71186"/>
    <w:rsid w:val="00D71FFC"/>
    <w:rsid w:val="00D73846"/>
    <w:rsid w:val="00D75236"/>
    <w:rsid w:val="00D7734C"/>
    <w:rsid w:val="00D775F9"/>
    <w:rsid w:val="00D81170"/>
    <w:rsid w:val="00D85344"/>
    <w:rsid w:val="00D85BEE"/>
    <w:rsid w:val="00D87058"/>
    <w:rsid w:val="00D87BD7"/>
    <w:rsid w:val="00D91550"/>
    <w:rsid w:val="00D91E7D"/>
    <w:rsid w:val="00D9321B"/>
    <w:rsid w:val="00D941A8"/>
    <w:rsid w:val="00D9554A"/>
    <w:rsid w:val="00DA2E24"/>
    <w:rsid w:val="00DA3077"/>
    <w:rsid w:val="00DA5B5A"/>
    <w:rsid w:val="00DA64F1"/>
    <w:rsid w:val="00DB2FD0"/>
    <w:rsid w:val="00DB31DC"/>
    <w:rsid w:val="00DB40E0"/>
    <w:rsid w:val="00DB4A97"/>
    <w:rsid w:val="00DB7E75"/>
    <w:rsid w:val="00DC152B"/>
    <w:rsid w:val="00DC1A6A"/>
    <w:rsid w:val="00DC1C25"/>
    <w:rsid w:val="00DC3651"/>
    <w:rsid w:val="00DC3DCC"/>
    <w:rsid w:val="00DC469B"/>
    <w:rsid w:val="00DC5C6B"/>
    <w:rsid w:val="00DC68A4"/>
    <w:rsid w:val="00DC7BA1"/>
    <w:rsid w:val="00DD0726"/>
    <w:rsid w:val="00DD0C39"/>
    <w:rsid w:val="00DD1EE7"/>
    <w:rsid w:val="00DD4194"/>
    <w:rsid w:val="00DD690D"/>
    <w:rsid w:val="00DD761E"/>
    <w:rsid w:val="00DE0463"/>
    <w:rsid w:val="00DE176A"/>
    <w:rsid w:val="00DE33FC"/>
    <w:rsid w:val="00DE7718"/>
    <w:rsid w:val="00DE7B94"/>
    <w:rsid w:val="00DE7F57"/>
    <w:rsid w:val="00DF02DF"/>
    <w:rsid w:val="00DF23AB"/>
    <w:rsid w:val="00DF24AF"/>
    <w:rsid w:val="00DF34D0"/>
    <w:rsid w:val="00DF3632"/>
    <w:rsid w:val="00DF73BD"/>
    <w:rsid w:val="00DF749A"/>
    <w:rsid w:val="00E05DA3"/>
    <w:rsid w:val="00E106E6"/>
    <w:rsid w:val="00E10DFA"/>
    <w:rsid w:val="00E11DDE"/>
    <w:rsid w:val="00E14BBF"/>
    <w:rsid w:val="00E156DD"/>
    <w:rsid w:val="00E15B94"/>
    <w:rsid w:val="00E22CDD"/>
    <w:rsid w:val="00E234DC"/>
    <w:rsid w:val="00E236F3"/>
    <w:rsid w:val="00E23706"/>
    <w:rsid w:val="00E25640"/>
    <w:rsid w:val="00E25CCA"/>
    <w:rsid w:val="00E2737B"/>
    <w:rsid w:val="00E31388"/>
    <w:rsid w:val="00E345FD"/>
    <w:rsid w:val="00E34886"/>
    <w:rsid w:val="00E3674A"/>
    <w:rsid w:val="00E37032"/>
    <w:rsid w:val="00E3752C"/>
    <w:rsid w:val="00E37E2B"/>
    <w:rsid w:val="00E41FB3"/>
    <w:rsid w:val="00E43B32"/>
    <w:rsid w:val="00E47062"/>
    <w:rsid w:val="00E50790"/>
    <w:rsid w:val="00E5120F"/>
    <w:rsid w:val="00E512BA"/>
    <w:rsid w:val="00E527F1"/>
    <w:rsid w:val="00E56741"/>
    <w:rsid w:val="00E656CE"/>
    <w:rsid w:val="00E66D0B"/>
    <w:rsid w:val="00E6786E"/>
    <w:rsid w:val="00E70E0B"/>
    <w:rsid w:val="00E74E7C"/>
    <w:rsid w:val="00E75F63"/>
    <w:rsid w:val="00E82F2F"/>
    <w:rsid w:val="00E85F17"/>
    <w:rsid w:val="00E906C1"/>
    <w:rsid w:val="00E91BC0"/>
    <w:rsid w:val="00E958C1"/>
    <w:rsid w:val="00E95B06"/>
    <w:rsid w:val="00E96868"/>
    <w:rsid w:val="00EA1394"/>
    <w:rsid w:val="00EA1D24"/>
    <w:rsid w:val="00EA7CA1"/>
    <w:rsid w:val="00EA7DAD"/>
    <w:rsid w:val="00EB2283"/>
    <w:rsid w:val="00EB5B25"/>
    <w:rsid w:val="00EB6291"/>
    <w:rsid w:val="00EB634A"/>
    <w:rsid w:val="00EB68E5"/>
    <w:rsid w:val="00EC047E"/>
    <w:rsid w:val="00EC0C72"/>
    <w:rsid w:val="00EC2D7D"/>
    <w:rsid w:val="00ED1F13"/>
    <w:rsid w:val="00ED2F2D"/>
    <w:rsid w:val="00ED596B"/>
    <w:rsid w:val="00EE1FB6"/>
    <w:rsid w:val="00EE3AF3"/>
    <w:rsid w:val="00EE583E"/>
    <w:rsid w:val="00EE596C"/>
    <w:rsid w:val="00EE62B6"/>
    <w:rsid w:val="00EF2877"/>
    <w:rsid w:val="00EF2AEA"/>
    <w:rsid w:val="00EF4491"/>
    <w:rsid w:val="00EF6C81"/>
    <w:rsid w:val="00EF77F2"/>
    <w:rsid w:val="00F001B8"/>
    <w:rsid w:val="00F03BB8"/>
    <w:rsid w:val="00F045E2"/>
    <w:rsid w:val="00F0722A"/>
    <w:rsid w:val="00F0795A"/>
    <w:rsid w:val="00F10407"/>
    <w:rsid w:val="00F12E52"/>
    <w:rsid w:val="00F13096"/>
    <w:rsid w:val="00F16772"/>
    <w:rsid w:val="00F172C8"/>
    <w:rsid w:val="00F17BB3"/>
    <w:rsid w:val="00F21941"/>
    <w:rsid w:val="00F22543"/>
    <w:rsid w:val="00F233F1"/>
    <w:rsid w:val="00F2512D"/>
    <w:rsid w:val="00F3059A"/>
    <w:rsid w:val="00F32864"/>
    <w:rsid w:val="00F34FAF"/>
    <w:rsid w:val="00F44F94"/>
    <w:rsid w:val="00F450E4"/>
    <w:rsid w:val="00F45E13"/>
    <w:rsid w:val="00F46730"/>
    <w:rsid w:val="00F47E99"/>
    <w:rsid w:val="00F51564"/>
    <w:rsid w:val="00F52B3B"/>
    <w:rsid w:val="00F52CEC"/>
    <w:rsid w:val="00F54E04"/>
    <w:rsid w:val="00F566C8"/>
    <w:rsid w:val="00F63C8E"/>
    <w:rsid w:val="00F63CD2"/>
    <w:rsid w:val="00F6402A"/>
    <w:rsid w:val="00F6653F"/>
    <w:rsid w:val="00F728DF"/>
    <w:rsid w:val="00F82983"/>
    <w:rsid w:val="00F82EEC"/>
    <w:rsid w:val="00F83FBC"/>
    <w:rsid w:val="00F845F2"/>
    <w:rsid w:val="00F85773"/>
    <w:rsid w:val="00F86D97"/>
    <w:rsid w:val="00F92384"/>
    <w:rsid w:val="00F93583"/>
    <w:rsid w:val="00F94769"/>
    <w:rsid w:val="00FA441F"/>
    <w:rsid w:val="00FA500F"/>
    <w:rsid w:val="00FA748D"/>
    <w:rsid w:val="00FA7F4C"/>
    <w:rsid w:val="00FB30E7"/>
    <w:rsid w:val="00FB538F"/>
    <w:rsid w:val="00FC1997"/>
    <w:rsid w:val="00FC281F"/>
    <w:rsid w:val="00FC53A9"/>
    <w:rsid w:val="00FC6028"/>
    <w:rsid w:val="00FC751E"/>
    <w:rsid w:val="00FD1443"/>
    <w:rsid w:val="00FD219D"/>
    <w:rsid w:val="00FD3C95"/>
    <w:rsid w:val="00FD4547"/>
    <w:rsid w:val="00FD4DB4"/>
    <w:rsid w:val="00FD73FA"/>
    <w:rsid w:val="00FE01C7"/>
    <w:rsid w:val="00FE27ED"/>
    <w:rsid w:val="00FE41DA"/>
    <w:rsid w:val="00FE4B80"/>
    <w:rsid w:val="00FF0650"/>
    <w:rsid w:val="00FF0D85"/>
    <w:rsid w:val="00FF229B"/>
    <w:rsid w:val="00FF26A1"/>
    <w:rsid w:val="00FF270D"/>
    <w:rsid w:val="00FF2EA0"/>
    <w:rsid w:val="00FF37A3"/>
    <w:rsid w:val="00FF6B8F"/>
    <w:rsid w:val="08FF2930"/>
    <w:rsid w:val="10A12ECB"/>
    <w:rsid w:val="12BF300B"/>
    <w:rsid w:val="285E447A"/>
    <w:rsid w:val="296945DD"/>
    <w:rsid w:val="345E5965"/>
    <w:rsid w:val="49052C7E"/>
    <w:rsid w:val="4B892274"/>
    <w:rsid w:val="50B42D5A"/>
    <w:rsid w:val="756827B9"/>
    <w:rsid w:val="79987A5C"/>
    <w:rsid w:val="79E80A8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99"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rPr>
      <w:rFonts w:ascii="Times New Roman" w:hAnsi="Times New Roman" w:eastAsia="Times New Roman" w:cs="Times New Roman"/>
      <w:sz w:val="24"/>
      <w:szCs w:val="24"/>
      <w:lang w:val="ru-RU" w:eastAsia="ru-RU"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954F72" w:themeColor="followedHyperlink"/>
      <w:u w:val="single"/>
      <w14:textFill>
        <w14:solidFill>
          <w14:schemeClr w14:val="folHlink"/>
        </w14:solidFill>
      </w14:textFill>
    </w:rPr>
  </w:style>
  <w:style w:type="character" w:styleId="5">
    <w:name w:val="annotation reference"/>
    <w:basedOn w:val="2"/>
    <w:semiHidden/>
    <w:unhideWhenUsed/>
    <w:qFormat/>
    <w:uiPriority w:val="99"/>
    <w:rPr>
      <w:sz w:val="16"/>
      <w:szCs w:val="16"/>
    </w:rPr>
  </w:style>
  <w:style w:type="character" w:styleId="6">
    <w:name w:val="Hyperlink"/>
    <w:qFormat/>
    <w:uiPriority w:val="99"/>
    <w:rPr>
      <w:color w:val="0563C1"/>
      <w:u w:val="single"/>
    </w:rPr>
  </w:style>
  <w:style w:type="character" w:styleId="7">
    <w:name w:val="line number"/>
    <w:basedOn w:val="2"/>
    <w:semiHidden/>
    <w:unhideWhenUsed/>
    <w:qFormat/>
    <w:uiPriority w:val="99"/>
  </w:style>
  <w:style w:type="character" w:styleId="8">
    <w:name w:val="Strong"/>
    <w:basedOn w:val="2"/>
    <w:qFormat/>
    <w:uiPriority w:val="99"/>
    <w:rPr>
      <w:b/>
      <w:bCs/>
    </w:rPr>
  </w:style>
  <w:style w:type="paragraph" w:styleId="9">
    <w:name w:val="Balloon Text"/>
    <w:basedOn w:val="1"/>
    <w:link w:val="23"/>
    <w:semiHidden/>
    <w:unhideWhenUsed/>
    <w:qFormat/>
    <w:uiPriority w:val="99"/>
    <w:rPr>
      <w:rFonts w:ascii="Segoe UI" w:hAnsi="Segoe UI" w:cs="Segoe UI"/>
      <w:sz w:val="18"/>
      <w:szCs w:val="18"/>
    </w:rPr>
  </w:style>
  <w:style w:type="paragraph" w:styleId="10">
    <w:name w:val="caption"/>
    <w:basedOn w:val="1"/>
    <w:next w:val="1"/>
    <w:semiHidden/>
    <w:unhideWhenUsed/>
    <w:qFormat/>
    <w:uiPriority w:val="35"/>
    <w:pPr>
      <w:spacing w:after="200"/>
    </w:pPr>
    <w:rPr>
      <w:i/>
      <w:iCs/>
      <w:color w:val="44546A" w:themeColor="text2"/>
      <w:sz w:val="18"/>
      <w:szCs w:val="18"/>
      <w14:textFill>
        <w14:solidFill>
          <w14:schemeClr w14:val="tx2"/>
        </w14:solidFill>
      </w14:textFill>
    </w:rPr>
  </w:style>
  <w:style w:type="paragraph" w:styleId="11">
    <w:name w:val="annotation text"/>
    <w:basedOn w:val="1"/>
    <w:link w:val="26"/>
    <w:semiHidden/>
    <w:unhideWhenUsed/>
    <w:qFormat/>
    <w:uiPriority w:val="99"/>
    <w:rPr>
      <w:sz w:val="20"/>
      <w:szCs w:val="20"/>
    </w:rPr>
  </w:style>
  <w:style w:type="paragraph" w:styleId="12">
    <w:name w:val="annotation subject"/>
    <w:basedOn w:val="11"/>
    <w:next w:val="11"/>
    <w:link w:val="27"/>
    <w:semiHidden/>
    <w:unhideWhenUsed/>
    <w:qFormat/>
    <w:uiPriority w:val="99"/>
    <w:rPr>
      <w:b/>
      <w:bCs/>
    </w:rPr>
  </w:style>
  <w:style w:type="paragraph" w:styleId="13">
    <w:name w:val="header"/>
    <w:basedOn w:val="1"/>
    <w:link w:val="24"/>
    <w:unhideWhenUsed/>
    <w:qFormat/>
    <w:uiPriority w:val="99"/>
    <w:pPr>
      <w:tabs>
        <w:tab w:val="center" w:pos="4677"/>
        <w:tab w:val="right" w:pos="9355"/>
      </w:tabs>
    </w:pPr>
  </w:style>
  <w:style w:type="paragraph" w:styleId="14">
    <w:name w:val="Body Text"/>
    <w:basedOn w:val="1"/>
    <w:link w:val="22"/>
    <w:qFormat/>
    <w:uiPriority w:val="0"/>
    <w:pPr>
      <w:spacing w:after="120" w:line="480" w:lineRule="auto"/>
      <w:ind w:firstLine="567"/>
      <w:jc w:val="both"/>
    </w:pPr>
    <w:rPr>
      <w:lang w:eastAsia="en-US"/>
    </w:rPr>
  </w:style>
  <w:style w:type="paragraph" w:styleId="15">
    <w:name w:val="footer"/>
    <w:basedOn w:val="1"/>
    <w:link w:val="25"/>
    <w:unhideWhenUsed/>
    <w:qFormat/>
    <w:uiPriority w:val="99"/>
    <w:pPr>
      <w:tabs>
        <w:tab w:val="center" w:pos="4677"/>
        <w:tab w:val="right" w:pos="9355"/>
      </w:tabs>
    </w:pPr>
  </w:style>
  <w:style w:type="paragraph" w:styleId="16">
    <w:name w:val="Normal (Web)"/>
    <w:basedOn w:val="1"/>
    <w:unhideWhenUsed/>
    <w:qFormat/>
    <w:uiPriority w:val="99"/>
    <w:pPr>
      <w:spacing w:before="100" w:beforeAutospacing="1" w:after="100" w:afterAutospacing="1"/>
    </w:pPr>
  </w:style>
  <w:style w:type="table" w:styleId="17">
    <w:name w:val="Table Grid"/>
    <w:basedOn w:val="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List Paragraph"/>
    <w:basedOn w:val="1"/>
    <w:qFormat/>
    <w:uiPriority w:val="34"/>
    <w:pPr>
      <w:ind w:left="720"/>
      <w:contextualSpacing/>
    </w:pPr>
  </w:style>
  <w:style w:type="character" w:customStyle="1" w:styleId="19">
    <w:name w:val="моё Знак"/>
    <w:link w:val="20"/>
    <w:qFormat/>
    <w:uiPriority w:val="0"/>
    <w:rPr>
      <w:rFonts w:eastAsia="Calibri"/>
      <w:sz w:val="24"/>
    </w:rPr>
  </w:style>
  <w:style w:type="paragraph" w:customStyle="1" w:styleId="20">
    <w:name w:val="моё"/>
    <w:basedOn w:val="21"/>
    <w:link w:val="19"/>
    <w:qFormat/>
    <w:uiPriority w:val="0"/>
    <w:rPr>
      <w:rFonts w:asciiTheme="minorHAnsi" w:hAnsiTheme="minorHAnsi" w:cstheme="minorBidi"/>
      <w:sz w:val="24"/>
    </w:rPr>
  </w:style>
  <w:style w:type="paragraph" w:styleId="21">
    <w:name w:val="No Spacing"/>
    <w:qFormat/>
    <w:uiPriority w:val="1"/>
    <w:rPr>
      <w:rFonts w:ascii="Calibri" w:hAnsi="Calibri" w:eastAsia="Calibri" w:cs="Times New Roman"/>
      <w:sz w:val="22"/>
      <w:szCs w:val="22"/>
      <w:lang w:val="ru-RU" w:eastAsia="en-US" w:bidi="ar-SA"/>
    </w:rPr>
  </w:style>
  <w:style w:type="character" w:customStyle="1" w:styleId="22">
    <w:name w:val="Основной текст Знак"/>
    <w:basedOn w:val="2"/>
    <w:link w:val="14"/>
    <w:qFormat/>
    <w:uiPriority w:val="0"/>
    <w:rPr>
      <w:rFonts w:ascii="Times New Roman" w:hAnsi="Times New Roman" w:eastAsia="Times New Roman" w:cs="Times New Roman"/>
      <w:sz w:val="24"/>
      <w:szCs w:val="24"/>
    </w:rPr>
  </w:style>
  <w:style w:type="character" w:customStyle="1" w:styleId="23">
    <w:name w:val="Текст выноски Знак"/>
    <w:basedOn w:val="2"/>
    <w:link w:val="9"/>
    <w:semiHidden/>
    <w:uiPriority w:val="99"/>
    <w:rPr>
      <w:rFonts w:ascii="Segoe UI" w:hAnsi="Segoe UI" w:eastAsia="Times New Roman" w:cs="Segoe UI"/>
      <w:sz w:val="18"/>
      <w:szCs w:val="18"/>
    </w:rPr>
  </w:style>
  <w:style w:type="character" w:customStyle="1" w:styleId="24">
    <w:name w:val="Верхний колонтитул Знак"/>
    <w:basedOn w:val="2"/>
    <w:link w:val="13"/>
    <w:qFormat/>
    <w:uiPriority w:val="99"/>
    <w:rPr>
      <w:rFonts w:eastAsia="Times New Roman"/>
      <w:sz w:val="24"/>
      <w:szCs w:val="24"/>
    </w:rPr>
  </w:style>
  <w:style w:type="character" w:customStyle="1" w:styleId="25">
    <w:name w:val="Нижний колонтитул Знак"/>
    <w:basedOn w:val="2"/>
    <w:link w:val="15"/>
    <w:qFormat/>
    <w:uiPriority w:val="99"/>
    <w:rPr>
      <w:rFonts w:eastAsia="Times New Roman"/>
      <w:sz w:val="24"/>
      <w:szCs w:val="24"/>
    </w:rPr>
  </w:style>
  <w:style w:type="character" w:customStyle="1" w:styleId="26">
    <w:name w:val="Текст примечания Знак"/>
    <w:basedOn w:val="2"/>
    <w:link w:val="11"/>
    <w:semiHidden/>
    <w:qFormat/>
    <w:uiPriority w:val="99"/>
    <w:rPr>
      <w:rFonts w:eastAsia="Times New Roman"/>
    </w:rPr>
  </w:style>
  <w:style w:type="character" w:customStyle="1" w:styleId="27">
    <w:name w:val="Тема примечания Знак"/>
    <w:basedOn w:val="26"/>
    <w:link w:val="12"/>
    <w:semiHidden/>
    <w:qFormat/>
    <w:uiPriority w:val="99"/>
    <w:rPr>
      <w:rFonts w:eastAsia="Times New Roman"/>
      <w:b/>
      <w:bCs/>
    </w:rPr>
  </w:style>
  <w:style w:type="paragraph" w:customStyle="1" w:styleId="28">
    <w:name w:val="Рецензия1"/>
    <w:hidden/>
    <w:semiHidden/>
    <w:qFormat/>
    <w:uiPriority w:val="99"/>
    <w:rPr>
      <w:rFonts w:ascii="Times New Roman" w:hAnsi="Times New Roman" w:eastAsia="Times New Roman" w:cs="Times New Roman"/>
      <w:sz w:val="24"/>
      <w:szCs w:val="24"/>
      <w:lang w:val="ru-RU" w:eastAsia="ru-RU" w:bidi="ar-SA"/>
    </w:rPr>
  </w:style>
  <w:style w:type="paragraph" w:customStyle="1" w:styleId="29">
    <w:name w:val="Table Caption"/>
    <w:basedOn w:val="10"/>
    <w:qFormat/>
    <w:uiPriority w:val="99"/>
    <w:pPr>
      <w:keepNext/>
      <w:spacing w:after="120" w:line="259" w:lineRule="auto"/>
    </w:pPr>
    <w:rPr>
      <w:rFonts w:asciiTheme="minorHAnsi" w:hAnsiTheme="minorHAnsi" w:eastAsiaTheme="minorHAnsi" w:cstheme="minorBidi"/>
      <w:iCs w:val="0"/>
      <w:color w:val="auto"/>
      <w:sz w:val="22"/>
      <w:szCs w:val="22"/>
      <w:lang w:eastAsia="en-US"/>
    </w:rPr>
  </w:style>
  <w:style w:type="paragraph" w:customStyle="1" w:styleId="30">
    <w:name w:val="western"/>
    <w:basedOn w:val="1"/>
    <w:qFormat/>
    <w:uiPriority w:val="99"/>
    <w:pPr>
      <w:spacing w:before="100" w:beforeAutospacing="1" w:after="100" w:afterAutospacing="1"/>
    </w:pPr>
  </w:style>
  <w:style w:type="character" w:customStyle="1" w:styleId="31">
    <w:name w:val="wmi-callto"/>
    <w:basedOn w:val="2"/>
    <w:qFormat/>
    <w:uiPriority w:val="0"/>
  </w:style>
  <w:style w:type="paragraph" w:customStyle="1" w:styleId="32">
    <w:name w:val="c-article-references__text"/>
    <w:basedOn w:val="1"/>
    <w:qFormat/>
    <w:uiPriority w:val="0"/>
    <w:pPr>
      <w:spacing w:before="100" w:beforeAutospacing="1" w:after="100" w:afterAutospacing="1"/>
    </w:pPr>
  </w:style>
  <w:style w:type="character" w:customStyle="1" w:styleId="33">
    <w:name w:val="mail-message-sender-email"/>
    <w:basedOn w:val="2"/>
    <w:qFormat/>
    <w:uiPriority w:val="99"/>
  </w:style>
  <w:style w:type="character" w:customStyle="1" w:styleId="34">
    <w:name w:val="doi__label"/>
    <w:basedOn w:val="2"/>
    <w:qFormat/>
    <w:uiPriority w:val="0"/>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4237</Words>
  <Characters>24152</Characters>
  <Lines>201</Lines>
  <Paragraphs>56</Paragraphs>
  <TotalTime>40</TotalTime>
  <ScaleCrop>false</ScaleCrop>
  <LinksUpToDate>false</LinksUpToDate>
  <CharactersWithSpaces>28333</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2022-08-26T08:51:00Z</dcterms:created>
  <dc:creator>Петр Ершов</dc:creator>
  <cp:lastModifiedBy>google1599737165</cp:lastModifiedBy>
  <dcterms:modified xsi:type="dcterms:W3CDTF">2022-09-01T15:35:15Z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1049-11.2.0.11130</vt:lpwstr>
  </property>
  <property fmtid="{D5CDD505-2E9C-101B-9397-08002B2CF9AE}" pid="3" name="ICV">
    <vt:lpwstr>A4574124620A4C8AB75FA99AAFE7A96E</vt:lpwstr>
  </property>
</Properties>
</file>