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9C2BB3">
      <w:pPr>
        <w:spacing w:beforeLines="0" w:afterLines="0"/>
        <w:jc w:val="left"/>
        <w:rPr>
          <w:rFonts w:hint="default" w:ascii="Times New Roman" w:hAnsi="Times New Roman" w:eastAsia="Times New Roman" w:cs="Times New Roman"/>
          <w:b/>
          <w:color w:val="000000"/>
          <w:sz w:val="24"/>
          <w:szCs w:val="24"/>
        </w:rPr>
      </w:pPr>
      <w:r>
        <w:rPr>
          <w:rFonts w:hint="default" w:ascii="Times New Roman" w:hAnsi="Times New Roman" w:cs="Times New Roman"/>
          <w:b/>
          <w:bCs/>
          <w:sz w:val="24"/>
          <w:szCs w:val="24"/>
        </w:rPr>
        <w:t>Рыбохозяйственная характеристика акватории Кандалакшского залива Белого моря,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2292D725">
      <w:pPr>
        <w:spacing w:beforeLines="0" w:afterLines="0"/>
        <w:jc w:val="left"/>
        <w:rPr>
          <w:rFonts w:hint="default" w:ascii="Times New Roman" w:hAnsi="Times New Roman" w:eastAsia="Times New Roman" w:cs="Times New Roman"/>
          <w:b/>
          <w:color w:val="000000"/>
          <w:sz w:val="24"/>
          <w:szCs w:val="24"/>
        </w:rPr>
      </w:pPr>
    </w:p>
    <w:p w14:paraId="04334FA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Введение </w:t>
      </w:r>
    </w:p>
    <w:p w14:paraId="1D36177D">
      <w:pPr>
        <w:spacing w:beforeLines="0" w:afterLines="0"/>
        <w:jc w:val="left"/>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Подходной фарватер к морскому нефтеналивному специлизированному порту </w:t>
      </w:r>
      <w:bookmarkStart w:id="0" w:name="_GoBack"/>
      <w:r>
        <w:rPr>
          <w:rFonts w:hint="default" w:ascii="Times New Roman" w:hAnsi="Times New Roman" w:eastAsia="Times New Roman" w:cs="Times New Roman"/>
          <w:color w:val="000000"/>
          <w:sz w:val="24"/>
          <w:szCs w:val="24"/>
          <w:lang w:val="ru-RU"/>
        </w:rPr>
        <w:t xml:space="preserve">«Витино» начал функционировать в ++++ г. Важной особенностью фарватера </w:t>
      </w:r>
      <w:bookmarkEnd w:id="0"/>
      <w:r>
        <w:rPr>
          <w:rFonts w:hint="default" w:ascii="Times New Roman" w:hAnsi="Times New Roman" w:eastAsia="Times New Roman" w:cs="Times New Roman"/>
          <w:color w:val="000000"/>
          <w:sz w:val="24"/>
          <w:szCs w:val="24"/>
          <w:lang w:val="ru-RU"/>
        </w:rPr>
        <w:t xml:space="preserve">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На одном из участков (++++) фарватер даже заходит в гранцы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Кроме того,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матриалы, которые позволят оценить факторы </w:t>
      </w:r>
      <w:r>
        <w:rPr>
          <w:rFonts w:hint="default" w:ascii="Times New Roman" w:hAnsi="Times New Roman" w:eastAsia="Times New Roman" w:cs="Times New Roman"/>
          <w:color w:val="000000"/>
          <w:sz w:val="24"/>
          <w:szCs w:val="24"/>
        </w:rPr>
        <w:t>среды рыб</w:t>
      </w:r>
      <w:r>
        <w:rPr>
          <w:rFonts w:hint="default" w:ascii="Times New Roman" w:hAnsi="Times New Roman" w:eastAsia="Times New Roman" w:cs="Times New Roman"/>
          <w:color w:val="000000"/>
          <w:sz w:val="24"/>
          <w:szCs w:val="24"/>
          <w:lang w:val="ru-RU"/>
        </w:rPr>
        <w:t xml:space="preserve">, обитающих на участках связанных с ремонтным черпапнием дна в районе прохождения фарватера. К числу факторов, рассморенных в данной работе, относятся как </w:t>
      </w:r>
      <w:r>
        <w:rPr>
          <w:rFonts w:hint="default" w:ascii="Times New Roman" w:hAnsi="Times New Roman" w:eastAsia="Times New Roman" w:cs="Times New Roman"/>
          <w:color w:val="000000"/>
          <w:sz w:val="24"/>
          <w:szCs w:val="24"/>
        </w:rPr>
        <w:t>физико-географические характеристики</w:t>
      </w:r>
      <w:r>
        <w:rPr>
          <w:rFonts w:hint="default" w:ascii="Times New Roman" w:hAnsi="Times New Roman" w:eastAsia="Times New Roman" w:cs="Times New Roman"/>
          <w:color w:val="000000"/>
          <w:sz w:val="24"/>
          <w:szCs w:val="24"/>
          <w:lang w:val="ru-RU"/>
        </w:rPr>
        <w:t xml:space="preserve"> акватории и ключевые гидрологические факторы, так </w:t>
      </w:r>
      <w:r>
        <w:rPr>
          <w:rFonts w:hint="default" w:ascii="Times New Roman" w:hAnsi="Times New Roman" w:eastAsia="Times New Roman" w:cs="Times New Roman"/>
          <w:color w:val="000000"/>
          <w:sz w:val="24"/>
          <w:szCs w:val="24"/>
        </w:rPr>
        <w:t>компонент</w:t>
      </w:r>
      <w:r>
        <w:rPr>
          <w:rFonts w:hint="default" w:ascii="Times New Roman" w:hAnsi="Times New Roman" w:eastAsia="Times New Roman" w:cs="Times New Roman"/>
          <w:color w:val="000000"/>
          <w:sz w:val="24"/>
          <w:szCs w:val="24"/>
          <w:lang w:val="ru-RU"/>
        </w:rPr>
        <w:t>ы</w:t>
      </w:r>
      <w:r>
        <w:rPr>
          <w:rFonts w:hint="default" w:ascii="Times New Roman" w:hAnsi="Times New Roman" w:eastAsia="Times New Roman" w:cs="Times New Roman"/>
          <w:color w:val="000000"/>
          <w:sz w:val="24"/>
          <w:szCs w:val="24"/>
        </w:rPr>
        <w:t xml:space="preserve"> биоты (фитопланктон, зоопланктон, зообентос)</w:t>
      </w:r>
      <w:r>
        <w:rPr>
          <w:rFonts w:hint="default" w:ascii="Times New Roman" w:hAnsi="Times New Roman" w:eastAsia="Times New Roman" w:cs="Times New Roman"/>
          <w:color w:val="000000"/>
          <w:sz w:val="24"/>
          <w:szCs w:val="24"/>
          <w:lang w:val="ru-RU"/>
        </w:rPr>
        <w:t>, с которыми потенциально связаны члены ихтиоценоза</w:t>
      </w:r>
      <w:r>
        <w:rPr>
          <w:rFonts w:hint="default" w:ascii="Times New Roman" w:hAnsi="Times New Roman" w:eastAsia="Times New Roman" w:cs="Times New Roman"/>
          <w:color w:val="000000"/>
          <w:sz w:val="24"/>
          <w:szCs w:val="24"/>
        </w:rPr>
        <w:t xml:space="preserve">. </w:t>
      </w:r>
    </w:p>
    <w:p w14:paraId="18183904">
      <w:pPr>
        <w:spacing w:beforeLines="0" w:afterLines="0"/>
        <w:jc w:val="left"/>
        <w:rPr>
          <w:rFonts w:hint="default" w:ascii="Times New Roman" w:hAnsi="Times New Roman" w:eastAsia="Times New Roman" w:cs="Times New Roman"/>
          <w:color w:val="000000"/>
          <w:sz w:val="24"/>
          <w:szCs w:val="24"/>
        </w:rPr>
      </w:pPr>
    </w:p>
    <w:p w14:paraId="43924CC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Краткая физико-географическая характеристика района работ </w:t>
      </w:r>
    </w:p>
    <w:p w14:paraId="7EFF339A">
      <w:pPr>
        <w:rPr>
          <w:rFonts w:hint="default" w:ascii="Times New Roman" w:hAnsi="Times New Roman" w:eastAsia="Times New Roman" w:cs="Times New Roman"/>
          <w:color w:val="000000"/>
          <w:sz w:val="24"/>
          <w:szCs w:val="24"/>
          <w:lang w:val="ru-RU"/>
        </w:rPr>
      </w:pPr>
    </w:p>
    <w:p w14:paraId="63CFB89C">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Краткое хараткристика к</w:t>
      </w:r>
      <w:r>
        <w:rPr>
          <w:rFonts w:hint="default" w:ascii="Times New Roman" w:hAnsi="Times New Roman" w:eastAsia="Times New Roman" w:cs="Times New Roman"/>
          <w:color w:val="000000"/>
          <w:sz w:val="24"/>
          <w:szCs w:val="24"/>
        </w:rPr>
        <w:t>лиматически</w:t>
      </w:r>
      <w:r>
        <w:rPr>
          <w:rFonts w:hint="default" w:ascii="Times New Roman" w:hAnsi="Times New Roman" w:eastAsia="Times New Roman" w:cs="Times New Roman"/>
          <w:color w:val="000000"/>
          <w:sz w:val="24"/>
          <w:szCs w:val="24"/>
          <w:lang w:val="ru-RU"/>
        </w:rPr>
        <w:t>х</w:t>
      </w:r>
      <w:r>
        <w:rPr>
          <w:rFonts w:hint="default" w:ascii="Times New Roman" w:hAnsi="Times New Roman" w:eastAsia="Times New Roman" w:cs="Times New Roman"/>
          <w:color w:val="000000"/>
          <w:sz w:val="24"/>
          <w:szCs w:val="24"/>
        </w:rPr>
        <w:t xml:space="preserve"> услови</w:t>
      </w:r>
      <w:r>
        <w:rPr>
          <w:rFonts w:hint="default" w:ascii="Times New Roman" w:hAnsi="Times New Roman" w:eastAsia="Times New Roman" w:cs="Times New Roman"/>
          <w:color w:val="000000"/>
          <w:sz w:val="24"/>
          <w:szCs w:val="24"/>
          <w:lang w:val="ru-RU"/>
        </w:rPr>
        <w:t>й</w:t>
      </w:r>
    </w:p>
    <w:p w14:paraId="3778611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В течение всего года в регионе происходят частые смены воздушных масс, при этом большую часть года над регионом присуствуют циклоны, которые приводят к высокой вариабельности (иногда в течение одного дня) метеорологических </w:t>
      </w:r>
      <w:r>
        <w:rPr>
          <w:rFonts w:hint="default" w:ascii="Times New Roman" w:hAnsi="Times New Roman" w:eastAsia="Times New Roman" w:cs="Times New Roman"/>
          <w:color w:val="000000"/>
          <w:sz w:val="24"/>
          <w:szCs w:val="24"/>
          <w:lang w:val="en-US"/>
        </w:rPr>
        <w:t>параметров</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en-US"/>
        </w:rPr>
        <w:t>Filatov et al., +++).</w:t>
      </w:r>
      <w:r>
        <w:rPr>
          <w:rFonts w:hint="default" w:ascii="Times New Roman" w:hAnsi="Times New Roman" w:eastAsia="Times New Roman" w:cs="Times New Roman"/>
          <w:color w:val="000000"/>
          <w:sz w:val="24"/>
          <w:szCs w:val="24"/>
          <w:lang w:val="ru-RU"/>
        </w:rPr>
        <w:t xml:space="preserve"> Наиболее холодное время наблюдается зимой, когда регион захатывают антициклоны, пришедшие из Карского моря и северо-запада Сибири. Температура воздуха в этот период может падать до -30 С, иногда даже даже ниже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Наиболее низкая температура, зарегистрованная на территоррии Кандалакшского заповедника, составила +++ С (+++).  Летняя температура может достигать +30 С, однако в норме она не превышает 15-20 С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Самая высокая темпреатура зарегистрированная на территории Кандалакшского заповедника составила +++ С (++++). Более подробная хараткеристика климатических условий приводится в специализированных работах (++++). </w:t>
      </w:r>
    </w:p>
    <w:p w14:paraId="5FE47CE6">
      <w:pPr>
        <w:rPr>
          <w:rFonts w:hint="default" w:ascii="Times New Roman" w:hAnsi="Times New Roman" w:eastAsia="Times New Roman" w:cs="Times New Roman"/>
          <w:color w:val="000000"/>
          <w:sz w:val="24"/>
          <w:szCs w:val="24"/>
          <w:lang w:val="ru-RU"/>
        </w:rPr>
      </w:pPr>
    </w:p>
    <w:p w14:paraId="7DCF486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 по +++ (Летопись+++). Однако, начиная с 2008 года регулярно наблюдаются события, когда в конце декабря - начале января не происходило формирования ледяного покрова (Рис. ++). Тренд глобального потепления выражается в регионе, в том числе, и в снижении толщины ледового покрова, отмечающейся в вершине Кандалакшского залива (Хайтов, 2015). </w:t>
      </w:r>
    </w:p>
    <w:p w14:paraId="65CCA47C">
      <w:pPr>
        <w:rPr>
          <w:rFonts w:hint="default" w:ascii="Times New Roman" w:hAnsi="Times New Roman" w:eastAsia="Times New Roman" w:cs="Times New Roman"/>
          <w:color w:val="000000"/>
          <w:sz w:val="24"/>
          <w:szCs w:val="24"/>
          <w:lang w:val="ru-RU"/>
        </w:rPr>
      </w:pPr>
    </w:p>
    <w:p w14:paraId="5E2B5A44">
      <w:pPr>
        <w:rPr>
          <w:rFonts w:hint="default" w:ascii="Times New Roman" w:hAnsi="Times New Roman" w:eastAsia="Times New Roman" w:cs="Times New Roman"/>
          <w:color w:val="000000"/>
          <w:sz w:val="24"/>
          <w:szCs w:val="24"/>
          <w:lang w:val="ru-RU"/>
        </w:rPr>
      </w:pPr>
    </w:p>
    <w:p w14:paraId="388B8857">
      <w:p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INCLUDEPICTURE "R%20calculations%20for%20Letopis%202015/Khaitov_2015_chapter_ice_cover_files/figure-html/unnamed-chunk-3-1.png" \* MERGEFORMATINET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drawing>
          <wp:inline distT="0" distB="0" distL="114300" distR="114300">
            <wp:extent cx="4062730" cy="2901950"/>
            <wp:effectExtent l="0" t="0" r="6350" b="889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4"/>
                    <a:stretch>
                      <a:fillRect/>
                    </a:stretch>
                  </pic:blipFill>
                  <pic:spPr>
                    <a:xfrm>
                      <a:off x="0" y="0"/>
                      <a:ext cx="4062730" cy="2901950"/>
                    </a:xfrm>
                    <a:prstGeom prst="rect">
                      <a:avLst/>
                    </a:prstGeom>
                    <a:noFill/>
                    <a:ln>
                      <a:noFill/>
                    </a:ln>
                  </pic:spPr>
                </pic:pic>
              </a:graphicData>
            </a:graphic>
          </wp:inline>
        </w:drawing>
      </w:r>
      <w:r>
        <w:rPr>
          <w:rFonts w:hint="default" w:ascii="Times New Roman" w:hAnsi="Times New Roman" w:cs="Times New Roman"/>
          <w:sz w:val="24"/>
          <w:szCs w:val="24"/>
        </w:rPr>
        <w:fldChar w:fldCharType="end"/>
      </w:r>
    </w:p>
    <w:p w14:paraId="1E20D1A4">
      <w:pPr>
        <w:rPr>
          <w:rFonts w:hint="default" w:ascii="Times New Roman" w:hAnsi="Times New Roman" w:cs="Times New Roman"/>
          <w:sz w:val="24"/>
          <w:szCs w:val="24"/>
        </w:rPr>
      </w:pPr>
    </w:p>
    <w:p w14:paraId="4508543E">
      <w:pPr>
        <w:rPr>
          <w:rFonts w:hint="default" w:ascii="Times New Roman" w:hAnsi="Times New Roman" w:eastAsia="Times New Roman" w:cs="Times New Roman"/>
          <w:color w:val="000000"/>
          <w:sz w:val="24"/>
          <w:szCs w:val="24"/>
          <w:lang w:val="en-US"/>
        </w:rPr>
      </w:pPr>
      <w:r>
        <w:rPr>
          <w:rFonts w:hint="default" w:ascii="Times New Roman" w:hAnsi="Times New Roman" w:cs="Times New Roman"/>
          <w:sz w:val="24"/>
          <w:szCs w:val="24"/>
          <w:lang w:val="ru-RU"/>
        </w:rPr>
        <w:t xml:space="preserve">Рисунок ++. Многолетние изменения толщины льда в конце декабря - начале января по данным наблюдений за 1988 - 2016 гг.  </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ab/>
      </w:r>
    </w:p>
    <w:p w14:paraId="2393CF22">
      <w:pPr>
        <w:rPr>
          <w:rFonts w:hint="default" w:ascii="Times New Roman" w:hAnsi="Times New Roman" w:eastAsia="Times New Roman" w:cs="Times New Roman"/>
          <w:color w:val="000000"/>
          <w:sz w:val="24"/>
          <w:szCs w:val="24"/>
          <w:lang w:val="ru-RU"/>
        </w:rPr>
      </w:pPr>
    </w:p>
    <w:p w14:paraId="04C21E88">
      <w:pPr>
        <w:rPr>
          <w:rFonts w:hint="default" w:ascii="Times New Roman" w:hAnsi="Times New Roman" w:eastAsia="Times New Roman" w:cs="Times New Roman"/>
          <w:color w:val="000000"/>
          <w:sz w:val="24"/>
          <w:szCs w:val="24"/>
          <w:lang w:val="ru-RU"/>
        </w:rPr>
      </w:pPr>
    </w:p>
    <w:p w14:paraId="6ADADE3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Ветровая нагрузка в летний период характеризуется преобладанием ветров северных, северо-восточных, южных и юго-восточных  румбов (Хайтов, 2011; 2013; 2014, рис. ++).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(Хайтов, 2011, рис. ++). </w:t>
      </w:r>
    </w:p>
    <w:p w14:paraId="782DC52C">
      <w:pPr>
        <w:rPr>
          <w:rFonts w:hint="default" w:ascii="Times New Roman" w:hAnsi="Times New Roman" w:eastAsia="Times New Roman" w:cs="Times New Roman"/>
          <w:color w:val="000000"/>
          <w:sz w:val="24"/>
          <w:szCs w:val="24"/>
          <w:lang w:val="ru-RU"/>
        </w:rPr>
      </w:pPr>
    </w:p>
    <w:p w14:paraId="62B46E8C">
      <w:pPr>
        <w:rPr>
          <w:rFonts w:hint="default" w:ascii="Times New Roman" w:hAnsi="Times New Roman" w:eastAsia="Times New Roman" w:cs="Times New Roman"/>
          <w:color w:val="000000"/>
          <w:sz w:val="24"/>
          <w:szCs w:val="24"/>
          <w:lang w:val="ru-RU"/>
        </w:rPr>
      </w:pPr>
    </w:p>
    <w:p w14:paraId="55DFF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971675"/>
            <wp:effectExtent l="0" t="0" r="254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5"/>
                    <a:stretch>
                      <a:fillRect/>
                    </a:stretch>
                  </pic:blipFill>
                  <pic:spPr>
                    <a:xfrm>
                      <a:off x="0" y="0"/>
                      <a:ext cx="5270500" cy="1971675"/>
                    </a:xfrm>
                    <a:prstGeom prst="rect">
                      <a:avLst/>
                    </a:prstGeom>
                    <a:noFill/>
                    <a:ln>
                      <a:noFill/>
                    </a:ln>
                  </pic:spPr>
                </pic:pic>
              </a:graphicData>
            </a:graphic>
          </wp:inline>
        </w:drawing>
      </w:r>
    </w:p>
    <w:p w14:paraId="78DE67F6">
      <w:pPr>
        <w:rPr>
          <w:rFonts w:hint="default" w:ascii="Times New Roman" w:hAnsi="Times New Roman" w:cs="Times New Roman"/>
          <w:sz w:val="24"/>
          <w:szCs w:val="24"/>
        </w:rPr>
      </w:pPr>
    </w:p>
    <w:p w14:paraId="71AE510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Частота наблюдения ветров с разным направлением в районе Кандалакши.</w:t>
      </w:r>
    </w:p>
    <w:p w14:paraId="4E179F08">
      <w:pPr>
        <w:rPr>
          <w:rFonts w:hint="default" w:ascii="Times New Roman" w:hAnsi="Times New Roman" w:cs="Times New Roman"/>
          <w:sz w:val="24"/>
          <w:szCs w:val="24"/>
          <w:lang w:val="ru-RU"/>
        </w:rPr>
      </w:pPr>
    </w:p>
    <w:p w14:paraId="6E28E0DE">
      <w:p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2588260" cy="1939290"/>
            <wp:effectExtent l="0" t="0" r="254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6"/>
                    <a:stretch>
                      <a:fillRect/>
                    </a:stretch>
                  </pic:blipFill>
                  <pic:spPr>
                    <a:xfrm>
                      <a:off x="0" y="0"/>
                      <a:ext cx="2588260" cy="1939290"/>
                    </a:xfrm>
                    <a:prstGeom prst="rect">
                      <a:avLst/>
                    </a:prstGeom>
                    <a:noFill/>
                    <a:ln>
                      <a:noFill/>
                    </a:ln>
                  </pic:spPr>
                </pic:pic>
              </a:graphicData>
            </a:graphic>
          </wp:inline>
        </w:drawing>
      </w:r>
    </w:p>
    <w:p w14:paraId="53E473B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1D86981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Рисунок ++. Средняя скорость ветров (±95% доверительный интервал) разных направлений в районе Кандалакши (наблюдения 2011 г.)</w:t>
      </w:r>
    </w:p>
    <w:p w14:paraId="4051DFEA">
      <w:pPr>
        <w:rPr>
          <w:rFonts w:hint="default" w:ascii="Times New Roman" w:hAnsi="Times New Roman" w:eastAsia="Times New Roman" w:cs="Times New Roman"/>
          <w:color w:val="000000"/>
          <w:sz w:val="24"/>
          <w:szCs w:val="24"/>
          <w:lang w:val="ru-RU"/>
        </w:rPr>
      </w:pPr>
    </w:p>
    <w:p w14:paraId="2FB3E49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9E7D404">
      <w:pPr>
        <w:rPr>
          <w:rFonts w:hint="default" w:ascii="Times New Roman" w:hAnsi="Times New Roman" w:eastAsia="Times New Roman" w:cs="Times New Roman"/>
          <w:color w:val="000000"/>
          <w:sz w:val="24"/>
          <w:szCs w:val="24"/>
          <w:lang w:val="en-US"/>
        </w:rPr>
      </w:pPr>
    </w:p>
    <w:p w14:paraId="7548B14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Географическое описание района проведения работ</w:t>
      </w:r>
    </w:p>
    <w:p w14:paraId="2D54664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Рис. ++).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Криньин и Ламбин). Далее фарватер сворачивает на северо-восток, уходя в пролив Оленья салма (между материком и островом Олений) и заканчивается, непосредственно в порту «Витино». </w:t>
      </w:r>
    </w:p>
    <w:p w14:paraId="2DD5A7DA">
      <w:pPr>
        <w:rPr>
          <w:rFonts w:hint="default" w:ascii="Times New Roman" w:hAnsi="Times New Roman" w:eastAsia="Times New Roman" w:cs="Times New Roman"/>
          <w:color w:val="000000"/>
          <w:sz w:val="24"/>
          <w:szCs w:val="24"/>
          <w:lang w:val="ru-RU"/>
        </w:rPr>
      </w:pPr>
    </w:p>
    <w:p w14:paraId="7E20AA6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 </w:t>
      </w:r>
    </w:p>
    <w:p w14:paraId="7537E3F6">
      <w:pPr>
        <w:rPr>
          <w:rFonts w:hint="default" w:ascii="Times New Roman" w:hAnsi="Times New Roman" w:eastAsia="Times New Roman" w:cs="Times New Roman"/>
          <w:color w:val="000000"/>
          <w:sz w:val="24"/>
          <w:szCs w:val="24"/>
          <w:lang w:val="ru-RU"/>
        </w:rPr>
      </w:pPr>
    </w:p>
    <w:p w14:paraId="21E94CB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Гидрологические условия </w:t>
      </w:r>
    </w:p>
    <w:p w14:paraId="4FA84983">
      <w:pPr>
        <w:rPr>
          <w:rFonts w:hint="default" w:ascii="Times New Roman" w:hAnsi="Times New Roman" w:eastAsia="Times New Roman" w:cs="Times New Roman"/>
          <w:color w:val="000000"/>
          <w:sz w:val="24"/>
          <w:szCs w:val="24"/>
          <w:lang w:val="ru-RU"/>
        </w:rPr>
      </w:pPr>
    </w:p>
    <w:p w14:paraId="11207BE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(Атлас..., 1991). Более подробные сведения о течениях отсуствуют, но могут быть оценены по косвенным данным (см. ниже)</w:t>
      </w:r>
    </w:p>
    <w:p w14:paraId="401010F0">
      <w:pPr>
        <w:rPr>
          <w:rFonts w:hint="default" w:ascii="Times New Roman" w:hAnsi="Times New Roman" w:eastAsia="Times New Roman" w:cs="Times New Roman"/>
          <w:color w:val="000000"/>
          <w:sz w:val="24"/>
          <w:szCs w:val="24"/>
          <w:lang w:val="en-US"/>
        </w:rPr>
      </w:pPr>
    </w:p>
    <w:p w14:paraId="156681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На фоне слабо выраженных стационарных течений, движение воды, вызванное полусуточными приливно-отливными колебаниями может быть весьма мощным ++++.  Наиболее сильные течения наблюдаются в узких проливах, в том числе в Западной Ряжковой салме, по которой проходит фарватер. ++++  </w:t>
      </w:r>
    </w:p>
    <w:p w14:paraId="486452F6">
      <w:pPr>
        <w:rPr>
          <w:rFonts w:hint="default" w:ascii="Times New Roman" w:hAnsi="Times New Roman" w:eastAsia="Times New Roman" w:cs="Times New Roman"/>
          <w:color w:val="000000"/>
          <w:sz w:val="24"/>
          <w:szCs w:val="24"/>
          <w:lang w:val="ru-RU"/>
        </w:rPr>
      </w:pPr>
    </w:p>
    <w:p w14:paraId="19489745">
      <w:pPr>
        <w:rPr>
          <w:rFonts w:hint="default" w:ascii="Times New Roman" w:hAnsi="Times New Roman" w:eastAsia="Times New Roman" w:cs="Times New Roman"/>
          <w:color w:val="000000"/>
          <w:sz w:val="24"/>
          <w:szCs w:val="24"/>
          <w:lang w:val="ru-RU"/>
        </w:rPr>
      </w:pPr>
    </w:p>
    <w:p w14:paraId="5A62062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Характеристика водных масс</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фарватеру,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7EA5C8C7">
      <w:pPr>
        <w:rPr>
          <w:rFonts w:hint="default" w:ascii="Times New Roman" w:hAnsi="Times New Roman" w:eastAsia="Times New Roman" w:cs="Times New Roman"/>
          <w:color w:val="000000"/>
          <w:sz w:val="24"/>
          <w:szCs w:val="24"/>
          <w:lang w:val="ru-RU"/>
        </w:rPr>
      </w:pPr>
    </w:p>
    <w:p w14:paraId="1CFF792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Соленостный режим акватории, в том числе, зависит и от сезонных явлений. Наиболее сильное опреснение, затрагивающее верхние 2-3 м наблюдается в перид таяния льда, приходящийся на апрель-май.  </w:t>
      </w:r>
    </w:p>
    <w:p w14:paraId="17D9DBE6">
      <w:pPr>
        <w:rPr>
          <w:rFonts w:hint="default" w:ascii="Times New Roman" w:hAnsi="Times New Roman" w:eastAsia="Times New Roman" w:cs="Times New Roman"/>
          <w:color w:val="000000"/>
          <w:sz w:val="24"/>
          <w:szCs w:val="24"/>
          <w:lang w:val="ru-RU"/>
        </w:rPr>
      </w:pP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(Хайтов, 2015</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оригинальные данные, собранные в 2024 г., рис. ++)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 в том чсле и в кутовой части Кандалашского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5334B205">
      <w:pPr>
        <w:rPr>
          <w:rFonts w:hint="default" w:ascii="Times New Roman" w:hAnsi="Times New Roman" w:eastAsia="Times New Roman" w:cs="Times New Roman"/>
          <w:color w:val="000000"/>
          <w:sz w:val="24"/>
          <w:szCs w:val="24"/>
          <w:lang w:val="ru-RU"/>
        </w:rPr>
      </w:pPr>
    </w:p>
    <w:p w14:paraId="2C90768E">
      <w:pPr>
        <w:rPr>
          <w:rFonts w:hint="default" w:ascii="Times New Roman" w:hAnsi="Times New Roman" w:eastAsia="Times New Roman" w:cs="Times New Roman"/>
          <w:color w:val="000000"/>
          <w:sz w:val="24"/>
          <w:szCs w:val="24"/>
          <w:lang w:val="ru-RU"/>
        </w:rPr>
      </w:pPr>
    </w:p>
    <w:p w14:paraId="2D88BB69">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268595" cy="5504815"/>
            <wp:effectExtent l="0" t="0" r="4445" b="1206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7"/>
                    <a:stretch>
                      <a:fillRect/>
                    </a:stretch>
                  </pic:blipFill>
                  <pic:spPr>
                    <a:xfrm>
                      <a:off x="0" y="0"/>
                      <a:ext cx="5268595" cy="5504815"/>
                    </a:xfrm>
                    <a:prstGeom prst="rect">
                      <a:avLst/>
                    </a:prstGeom>
                    <a:noFill/>
                    <a:ln>
                      <a:noFill/>
                    </a:ln>
                  </pic:spPr>
                </pic:pic>
              </a:graphicData>
            </a:graphic>
          </wp:inline>
        </w:drawing>
      </w:r>
    </w:p>
    <w:p w14:paraId="58CE4965">
      <w:pPr>
        <w:rPr>
          <w:rFonts w:hint="default" w:ascii="Times New Roman" w:hAnsi="Times New Roman" w:eastAsia="Times New Roman" w:cs="Times New Roman"/>
          <w:color w:val="000000"/>
          <w:sz w:val="24"/>
          <w:szCs w:val="24"/>
          <w:lang w:val="ru-RU"/>
        </w:rPr>
      </w:pPr>
    </w:p>
    <w:p w14:paraId="5297C4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Рисунок ++.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w:t>
      </w:r>
    </w:p>
    <w:p w14:paraId="7153D83F">
      <w:pPr>
        <w:rPr>
          <w:rFonts w:hint="default" w:ascii="Times New Roman" w:hAnsi="Times New Roman" w:eastAsia="Times New Roman" w:cs="Times New Roman"/>
          <w:color w:val="000000"/>
          <w:sz w:val="24"/>
          <w:szCs w:val="24"/>
          <w:lang w:val="ru-RU"/>
        </w:rPr>
      </w:pPr>
    </w:p>
    <w:p w14:paraId="0E85CD0D">
      <w:pPr>
        <w:rPr>
          <w:rFonts w:hint="default" w:ascii="Times New Roman" w:hAnsi="Times New Roman" w:eastAsia="Times New Roman" w:cs="Times New Roman"/>
          <w:color w:val="000000"/>
          <w:sz w:val="24"/>
          <w:szCs w:val="24"/>
          <w:lang w:val="ru-RU"/>
        </w:rPr>
      </w:pPr>
    </w:p>
    <w:p w14:paraId="347B581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поверхности и около 25-26%</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в придонном слое со средним вертикальным градиентом 0.25%</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1м (Пантюлин, +++). Индекс стратификации водных масс (</w:t>
      </w:r>
      <w:r>
        <w:rPr>
          <w:rFonts w:hint="default" w:ascii="Times New Roman" w:hAnsi="Times New Roman" w:eastAsia="Times New Roman" w:cs="Times New Roman"/>
          <w:color w:val="000000"/>
          <w:sz w:val="24"/>
          <w:szCs w:val="24"/>
          <w:lang w:val="en-US"/>
        </w:rPr>
        <w:t>n=0.22)</w:t>
      </w:r>
      <w:r>
        <w:rPr>
          <w:rFonts w:hint="default" w:ascii="Times New Roman" w:hAnsi="Times New Roman" w:eastAsia="Times New Roman" w:cs="Times New Roman"/>
          <w:color w:val="000000"/>
          <w:sz w:val="24"/>
          <w:szCs w:val="24"/>
          <w:lang w:val="ru-RU"/>
        </w:rPr>
        <w:t xml:space="preserve"> соответствует условиям частичного перемешивания вод (Пантюлин, +++). Анализ солености на нескольких горизонитах глубины в акватории</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Хайтов, 2007, рис. ++) показал, что скачек солености происходит на глубине около 5 м. На глубине более 10 м соленость составляет около 25 %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w:t>
      </w:r>
    </w:p>
    <w:p w14:paraId="06562A51">
      <w:pPr>
        <w:rPr>
          <w:rFonts w:hint="default" w:ascii="Times New Roman" w:hAnsi="Times New Roman" w:eastAsia="Times New Roman" w:cs="Times New Roman"/>
          <w:color w:val="000000"/>
          <w:sz w:val="24"/>
          <w:szCs w:val="24"/>
          <w:lang w:val="ru-RU"/>
        </w:rPr>
      </w:pPr>
    </w:p>
    <w:p w14:paraId="266748D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Стратификация воды в районе фарватера (точка  координатами ++ ++), оцененная во время малой воды, выражена значительно слабее (Рис. ++).  Это, вероятно, связано с сильными течениями, пермешивающими опресненную воду, идущую из кута залива и придонную воду с нормальной морской водой. </w:t>
      </w:r>
    </w:p>
    <w:p w14:paraId="70989C17">
      <w:pPr>
        <w:rPr>
          <w:rFonts w:hint="default" w:ascii="Times New Roman" w:hAnsi="Times New Roman" w:eastAsia="Times New Roman" w:cs="Times New Roman"/>
          <w:color w:val="000000"/>
          <w:sz w:val="24"/>
          <w:szCs w:val="24"/>
          <w:lang w:val="ru-RU"/>
        </w:rPr>
      </w:pPr>
    </w:p>
    <w:p w14:paraId="19B7AAA2">
      <w:pPr>
        <w:rPr>
          <w:rFonts w:hint="default" w:ascii="Times New Roman" w:hAnsi="Times New Roman" w:cs="Times New Roman"/>
          <w:sz w:val="24"/>
          <w:szCs w:val="24"/>
          <w:lang w:val="ru-RU"/>
        </w:rPr>
      </w:pPr>
      <w:r>
        <w:rPr>
          <w:rFonts w:hint="default" w:ascii="Times New Roman" w:hAnsi="Times New Roman" w:eastAsia="Times New Roman" w:cs="Times New Roman"/>
          <w:color w:val="000000"/>
          <w:sz w:val="24"/>
          <w:szCs w:val="24"/>
          <w:lang w:val="ru-RU"/>
        </w:rPr>
        <w:t>Для более надежной оценки структры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w:t>
      </w:r>
      <w:r>
        <w:rPr>
          <w:rFonts w:hint="default" w:ascii="Times New Roman" w:hAnsi="Times New Roman" w:eastAsia="Times New Roman" w:cs="Times New Roman"/>
          <w:color w:val="000000"/>
          <w:sz w:val="24"/>
          <w:szCs w:val="24"/>
          <w:lang w:val="en-US"/>
        </w:rPr>
        <w:t>N = ++, E = ++</w:t>
      </w:r>
      <w:r>
        <w:rPr>
          <w:rFonts w:hint="default" w:ascii="Times New Roman" w:hAnsi="Times New Roman" w:eastAsia="Times New Roman" w:cs="Times New Roman"/>
          <w:color w:val="000000"/>
          <w:sz w:val="24"/>
          <w:szCs w:val="24"/>
          <w:lang w:val="ru-RU"/>
        </w:rPr>
        <w:t xml:space="preserve">). Моголетние наблюдения в этой точке показывают, что </w:t>
      </w:r>
      <w:r>
        <w:rPr>
          <w:rFonts w:hint="default" w:ascii="Times New Roman" w:hAnsi="Times New Roman" w:cs="Times New Roman"/>
          <w:sz w:val="24"/>
          <w:szCs w:val="24"/>
          <w:lang w:val="ru-RU"/>
        </w:rPr>
        <w:t>между соленостью и температурой воды во все годы наблюдений наблюдалась отчетливая, статистически значимая отрицательная корреляция (Рис. ++)</w:t>
      </w:r>
    </w:p>
    <w:p w14:paraId="0D732C68">
      <w:pPr>
        <w:pStyle w:val="3"/>
        <w:rPr>
          <w:rFonts w:hint="default" w:ascii="Times New Roman" w:hAnsi="Times New Roman" w:cs="Times New Roman"/>
          <w:sz w:val="24"/>
          <w:szCs w:val="24"/>
          <w:lang w:val="ru-RU"/>
        </w:rPr>
      </w:pPr>
    </w:p>
    <w:p w14:paraId="791D4C24">
      <w:pPr>
        <w:pStyle w:val="3"/>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3312160" cy="3312160"/>
            <wp:effectExtent l="0" t="0" r="10160" b="10160"/>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8"/>
                    <a:stretch>
                      <a:fillRect/>
                    </a:stretch>
                  </pic:blipFill>
                  <pic:spPr>
                    <a:xfrm>
                      <a:off x="0" y="0"/>
                      <a:ext cx="3312160" cy="3312160"/>
                    </a:xfrm>
                    <a:prstGeom prst="rect">
                      <a:avLst/>
                    </a:prstGeom>
                    <a:noFill/>
                    <a:ln w="9525">
                      <a:noFill/>
                    </a:ln>
                  </pic:spPr>
                </pic:pic>
              </a:graphicData>
            </a:graphic>
          </wp:inline>
        </w:drawing>
      </w:r>
    </w:p>
    <w:p w14:paraId="3D273DC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Связь солености и температуры воды в Южной губе o. Ряжкова </w:t>
      </w:r>
      <w:r>
        <w:rPr>
          <w:rFonts w:hint="default" w:ascii="Times New Roman" w:hAnsi="Times New Roman" w:cs="Times New Roman"/>
          <w:sz w:val="24"/>
          <w:szCs w:val="24"/>
          <w:lang w:val="ru-RU"/>
        </w:rPr>
        <w:t>в летний период (Хайтов, 2023)</w:t>
      </w:r>
    </w:p>
    <w:p w14:paraId="2EF6AFA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08A5F20E">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170805" cy="3582035"/>
            <wp:effectExtent l="0" t="0" r="10795" b="1460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9"/>
                    <a:stretch>
                      <a:fillRect/>
                    </a:stretch>
                  </pic:blipFill>
                  <pic:spPr>
                    <a:xfrm>
                      <a:off x="0" y="0"/>
                      <a:ext cx="5170805" cy="3582035"/>
                    </a:xfrm>
                    <a:prstGeom prst="rect">
                      <a:avLst/>
                    </a:prstGeom>
                  </pic:spPr>
                </pic:pic>
              </a:graphicData>
            </a:graphic>
          </wp:inline>
        </w:drawing>
      </w:r>
    </w:p>
    <w:p w14:paraId="79F85C53">
      <w:pPr>
        <w:rPr>
          <w:rFonts w:hint="default" w:ascii="Times New Roman" w:hAnsi="Times New Roman" w:eastAsia="Times New Roman" w:cs="Times New Roman"/>
          <w:color w:val="000000"/>
          <w:sz w:val="24"/>
          <w:szCs w:val="24"/>
          <w:lang w:val="ru-RU"/>
        </w:rPr>
      </w:pPr>
    </w:p>
    <w:p w14:paraId="656ADB42">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b/>
          <w:i w:val="0"/>
          <w:iCs/>
          <w:sz w:val="24"/>
          <w:szCs w:val="24"/>
        </w:rPr>
        <w:t xml:space="preserve">Рисунок </w:t>
      </w:r>
      <w:r>
        <w:rPr>
          <w:rFonts w:hint="default" w:ascii="Times New Roman" w:hAnsi="Times New Roman" w:cs="Times New Roman"/>
          <w:b/>
          <w:i w:val="0"/>
          <w:iCs/>
          <w:sz w:val="24"/>
          <w:szCs w:val="24"/>
          <w:lang w:val="en-US"/>
        </w:rPr>
        <w:t>+.</w:t>
      </w:r>
      <w:r>
        <w:rPr>
          <w:rFonts w:hint="default" w:ascii="Times New Roman" w:hAnsi="Times New Roman" w:cs="Times New Roman"/>
          <w:b/>
          <w:i w:val="0"/>
          <w:iCs/>
          <w:sz w:val="24"/>
          <w:szCs w:val="24"/>
        </w:rPr>
        <w:t>1.</w:t>
      </w:r>
      <w:r>
        <w:rPr>
          <w:rFonts w:hint="default" w:ascii="Times New Roman" w:hAnsi="Times New Roman" w:cs="Times New Roman"/>
          <w:b/>
          <w:i w:val="0"/>
          <w:iCs/>
          <w:sz w:val="24"/>
          <w:szCs w:val="24"/>
          <w:lang w:val="en-US"/>
        </w:rPr>
        <w:t xml:space="preserve"> </w:t>
      </w:r>
      <w:r>
        <w:rPr>
          <w:rFonts w:hint="default" w:ascii="Times New Roman" w:hAnsi="Times New Roman" w:cs="Times New Roman"/>
          <w:i w:val="0"/>
          <w:iCs/>
          <w:sz w:val="24"/>
          <w:szCs w:val="24"/>
        </w:rPr>
        <w:t xml:space="preserve"> T-S диаграмма для летних водных масс Южной губы о. Ряжкова</w:t>
      </w:r>
      <w:r>
        <w:rPr>
          <w:rFonts w:hint="default" w:ascii="Times New Roman" w:hAnsi="Times New Roman" w:cs="Times New Roman"/>
          <w:i w:val="0"/>
          <w:iCs/>
          <w:sz w:val="24"/>
          <w:szCs w:val="24"/>
          <w:lang w:val="ru-RU"/>
        </w:rPr>
        <w:t>.</w:t>
      </w:r>
      <w:r>
        <w:rPr>
          <w:rFonts w:hint="default" w:ascii="Times New Roman" w:hAnsi="Times New Roman" w:cs="Times New Roman"/>
          <w:i w:val="0"/>
          <w:iCs/>
          <w:sz w:val="24"/>
          <w:szCs w:val="24"/>
        </w:rPr>
        <w:t xml:space="preserve"> Контуры</w:t>
      </w:r>
      <w:r>
        <w:rPr>
          <w:rFonts w:hint="default" w:ascii="Times New Roman" w:hAnsi="Times New Roman" w:cs="Times New Roman"/>
          <w:i w:val="0"/>
          <w:iCs/>
          <w:sz w:val="24"/>
          <w:szCs w:val="24"/>
          <w:lang w:val="ru-RU"/>
        </w:rPr>
        <w:t xml:space="preserve"> соответствуют </w:t>
      </w:r>
      <w:r>
        <w:rPr>
          <w:rFonts w:hint="default" w:ascii="Times New Roman" w:hAnsi="Times New Roman" w:cs="Times New Roman"/>
          <w:i w:val="0"/>
          <w:iCs/>
          <w:sz w:val="24"/>
          <w:szCs w:val="24"/>
        </w:rPr>
        <w:t>оценке ядерной плотности распределения точек.</w:t>
      </w:r>
    </w:p>
    <w:p w14:paraId="1D77373E">
      <w:pPr>
        <w:rPr>
          <w:rFonts w:hint="default" w:ascii="Times New Roman" w:hAnsi="Times New Roman" w:eastAsia="Times New Roman" w:cs="Times New Roman"/>
          <w:color w:val="000000"/>
          <w:sz w:val="24"/>
          <w:szCs w:val="24"/>
          <w:lang w:val="ru-RU"/>
        </w:rPr>
      </w:pPr>
    </w:p>
    <w:p w14:paraId="0C64740D">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Обобщеине всех данных, полученных за весь период наблюдений (ежегодно, начиная 2007 г (Рис. ++),  позволяет выделить некоторую гетерогенность в поверхностной водной массе. </w:t>
      </w:r>
      <w:r>
        <w:rPr>
          <w:rFonts w:hint="default" w:ascii="Times New Roman" w:hAnsi="Times New Roman" w:cs="Times New Roman"/>
          <w:sz w:val="24"/>
          <w:szCs w:val="24"/>
        </w:rPr>
        <w:t xml:space="preserve">На рисунке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отчетливо выделяются два скопления точек</w:t>
      </w:r>
      <w:r>
        <w:rPr>
          <w:rFonts w:hint="default" w:ascii="Times New Roman" w:hAnsi="Times New Roman" w:cs="Times New Roman"/>
          <w:sz w:val="24"/>
          <w:szCs w:val="24"/>
          <w:lang w:val="ru-RU"/>
        </w:rPr>
        <w:t xml:space="preserve">, что свидетельствует </w:t>
      </w:r>
      <w:r>
        <w:rPr>
          <w:rFonts w:hint="default" w:ascii="Times New Roman" w:hAnsi="Times New Roman" w:cs="Times New Roman"/>
          <w:sz w:val="24"/>
          <w:szCs w:val="24"/>
        </w:rPr>
        <w:t>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w:t>
      </w:r>
      <w:r>
        <w:rPr>
          <w:rFonts w:hint="default" w:ascii="Times New Roman" w:hAnsi="Times New Roman" w:cs="Times New Roman"/>
          <w:sz w:val="24"/>
          <w:szCs w:val="24"/>
          <w:lang w:val="ru-RU"/>
        </w:rPr>
        <w:t xml:space="preserve"> </w:t>
      </w:r>
    </w:p>
    <w:p w14:paraId="1B3B5B64">
      <w:pPr>
        <w:pStyle w:val="3"/>
        <w:rPr>
          <w:rFonts w:hint="default" w:ascii="Times New Roman" w:hAnsi="Times New Roman" w:cs="Times New Roman"/>
          <w:sz w:val="24"/>
          <w:szCs w:val="24"/>
          <w:lang w:val="ru-RU"/>
        </w:rPr>
      </w:pPr>
    </w:p>
    <w:p w14:paraId="0CEC126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r>
        <w:rPr>
          <w:rFonts w:hint="default" w:ascii="Times New Roman" w:hAnsi="Times New Roman" w:cs="Times New Roman"/>
        </w:rPr>
        <w:drawing>
          <wp:inline distT="0" distB="0" distL="114300" distR="114300">
            <wp:extent cx="6132195" cy="2586990"/>
            <wp:effectExtent l="0" t="0" r="9525" b="381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0"/>
                    <a:stretch>
                      <a:fillRect/>
                    </a:stretch>
                  </pic:blipFill>
                  <pic:spPr>
                    <a:xfrm>
                      <a:off x="0" y="0"/>
                      <a:ext cx="6132195" cy="2586990"/>
                    </a:xfrm>
                    <a:prstGeom prst="rect">
                      <a:avLst/>
                    </a:prstGeom>
                    <a:noFill/>
                    <a:ln>
                      <a:noFill/>
                    </a:ln>
                  </pic:spPr>
                </pic:pic>
              </a:graphicData>
            </a:graphic>
          </wp:inline>
        </w:drawing>
      </w:r>
    </w:p>
    <w:p w14:paraId="68822246">
      <w:pPr>
        <w:pStyle w:val="3"/>
        <w:rPr>
          <w:rFonts w:hint="default" w:ascii="Times New Roman" w:hAnsi="Times New Roman" w:cs="Times New Roman"/>
          <w:sz w:val="24"/>
          <w:szCs w:val="24"/>
        </w:rPr>
      </w:pPr>
      <w:r>
        <w:rPr>
          <w:rFonts w:hint="default" w:ascii="Times New Roman" w:hAnsi="Times New Roman" w:cs="Times New Roman"/>
          <w:sz w:val="24"/>
          <w:szCs w:val="24"/>
          <w:lang w:val="ru-RU"/>
        </w:rPr>
        <w:t>Рисунок ++. М</w:t>
      </w:r>
      <w:r>
        <w:rPr>
          <w:rFonts w:hint="default" w:ascii="Times New Roman" w:hAnsi="Times New Roman" w:cs="Times New Roman"/>
          <w:sz w:val="24"/>
          <w:szCs w:val="24"/>
        </w:rPr>
        <w:t>ноголетняя динамика фенологических характеристик</w:t>
      </w:r>
      <w:r>
        <w:rPr>
          <w:rFonts w:hint="default" w:ascii="Times New Roman" w:hAnsi="Times New Roman" w:cs="Times New Roman"/>
          <w:sz w:val="24"/>
          <w:szCs w:val="24"/>
          <w:lang w:val="ru-RU"/>
        </w:rPr>
        <w:t xml:space="preserve"> поверхностной водной массы. Левая панель описывает изменение солености. Изолинии проведены с шагом в 5 промилле. Правая панель - изменеие </w:t>
      </w:r>
      <w:r>
        <w:rPr>
          <w:rFonts w:hint="default" w:ascii="Times New Roman" w:hAnsi="Times New Roman" w:cs="Times New Roman"/>
          <w:sz w:val="24"/>
          <w:szCs w:val="24"/>
        </w:rPr>
        <w:t xml:space="preserve"> температуры воды в Южной губе. Изолинии проведены с шагом в 5 градусов.</w:t>
      </w:r>
    </w:p>
    <w:p w14:paraId="7666DC31">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Харктеристики водной массы, проходящей через акваторию, достаточно закономерно изменяются в течение летних месяцев (Хайтов, 2022). Более соленая и холодная вода обычно присутсвует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отмечатеся устойчивое формирование более пресной и теплой водной массы в более раниие сроки. Вода с такими характеристиками отмечается уже в конце июля. </w:t>
      </w:r>
    </w:p>
    <w:p w14:paraId="4F00A2C7">
      <w:pPr>
        <w:pStyle w:val="3"/>
        <w:rPr>
          <w:rFonts w:hint="default" w:ascii="Times New Roman" w:hAnsi="Times New Roman" w:cs="Times New Roman"/>
          <w:sz w:val="24"/>
          <w:szCs w:val="24"/>
          <w:lang w:val="ru-RU"/>
        </w:rPr>
      </w:pPr>
    </w:p>
    <w:p w14:paraId="0B10CCD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На характеристики водных асс оказывают, также, и внезапные, не связанные с сезонностью события. Так, например, значительную роль играют периодчески осуществляемые сбросы пресной воды из водохранилища «Нивсой» ГЭС. Одно из самых мощных воздействий было отмечено в 2000 (+++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 xml:space="preserve">) году,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(Корякин, Шкляревич+++). Поселение мидий на банке, расположенной в проливе между о. Олений и Телячий, не восстановилось даже сустя полтора десятилетия после этого воздействия (Шкляревич, Моисеева, 2016). </w:t>
      </w:r>
    </w:p>
    <w:p w14:paraId="0F332CC3">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Ежедневные наблюдения над гидрологическими параметрами в Южной губе о. Ршкова, проведенные в 2015 г. (Хайтов, 2015, Рис. ++) позволили оценить скорость распространения «языка» распреснения, вызванного сбросом с «Нивской» ГЭС. Так, в перовой декаде июня 2015 г. был отмечен очередной сброс пресной воды из водохранилища. С</w:t>
      </w:r>
      <w:r>
        <w:rPr>
          <w:rFonts w:hint="default" w:ascii="Times New Roman" w:hAnsi="Times New Roman" w:cs="Times New Roman"/>
          <w:sz w:val="24"/>
          <w:szCs w:val="24"/>
          <w:lang w:val="ru-RU"/>
        </w:rPr>
        <w:t xml:space="preserve">опоставление динамики солености и температуры воды (рис. +++)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рассмтариваться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   </w:t>
      </w:r>
    </w:p>
    <w:p w14:paraId="443FB2E3">
      <w:pPr>
        <w:pStyle w:val="3"/>
        <w:rPr>
          <w:rFonts w:hint="default" w:ascii="Times New Roman" w:hAnsi="Times New Roman" w:cs="Times New Roman"/>
        </w:rPr>
      </w:pPr>
      <w:r>
        <w:rPr>
          <w:rFonts w:hint="default" w:ascii="Times New Roman" w:hAnsi="Times New Roman" w:cs="Times New Roman"/>
        </w:rPr>
        <w:drawing>
          <wp:inline distT="0" distB="0" distL="114300" distR="114300">
            <wp:extent cx="5272405" cy="4112260"/>
            <wp:effectExtent l="0" t="0" r="635" b="25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1"/>
                    <a:stretch>
                      <a:fillRect/>
                    </a:stretch>
                  </pic:blipFill>
                  <pic:spPr>
                    <a:xfrm>
                      <a:off x="0" y="0"/>
                      <a:ext cx="5272405" cy="4112260"/>
                    </a:xfrm>
                    <a:prstGeom prst="rect">
                      <a:avLst/>
                    </a:prstGeom>
                    <a:noFill/>
                    <a:ln>
                      <a:noFill/>
                    </a:ln>
                  </pic:spPr>
                </pic:pic>
              </a:graphicData>
            </a:graphic>
          </wp:inline>
        </w:drawing>
      </w:r>
    </w:p>
    <w:p w14:paraId="4055EB52">
      <w:pPr>
        <w:pStyle w:val="3"/>
        <w:rPr>
          <w:rFonts w:hint="default" w:ascii="Times New Roman" w:hAnsi="Times New Roman" w:cs="Times New Roman"/>
        </w:rPr>
      </w:pPr>
      <w:r>
        <w:rPr>
          <w:rFonts w:hint="default" w:ascii="Times New Roman" w:hAnsi="Times New Roman" w:cs="Times New Roman"/>
        </w:rPr>
        <w:t>Рисунок +</w:t>
      </w:r>
      <w:r>
        <w:rPr>
          <w:rFonts w:hint="default" w:ascii="Times New Roman" w:hAnsi="Times New Roman" w:cs="Times New Roman"/>
          <w:lang w:val="ru-RU"/>
        </w:rPr>
        <w:t>+</w:t>
      </w:r>
      <w:r>
        <w:rPr>
          <w:rFonts w:hint="default" w:ascii="Times New Roman" w:hAnsi="Times New Roman" w:cs="Times New Roman"/>
        </w:rPr>
        <w:t xml:space="preserve">. Динамика солености и температуры воды </w:t>
      </w:r>
      <w:r>
        <w:rPr>
          <w:rFonts w:hint="default" w:ascii="Times New Roman" w:hAnsi="Times New Roman" w:cs="Times New Roman"/>
          <w:lang w:val="ru-RU"/>
        </w:rPr>
        <w:t xml:space="preserve">в Южной губе </w:t>
      </w:r>
      <w:r>
        <w:rPr>
          <w:rFonts w:hint="default" w:ascii="Times New Roman" w:hAnsi="Times New Roman" w:cs="Times New Roman"/>
        </w:rPr>
        <w:t>летом 2015 г. Горизонтальная пунктирная линия представляет среднее значение соответствующего показателя за предыдущие годы.</w:t>
      </w:r>
    </w:p>
    <w:p w14:paraId="7F7E29FD">
      <w:pPr>
        <w:pStyle w:val="3"/>
        <w:rPr>
          <w:rFonts w:hint="default" w:ascii="Times New Roman" w:hAnsi="Times New Roman"/>
          <w:lang w:val="ru-RU"/>
        </w:rPr>
      </w:pPr>
      <w:r>
        <w:rPr>
          <w:rFonts w:hint="default" w:ascii="Times New Roman" w:hAnsi="Times New Roman" w:cs="Times New Roman"/>
          <w:lang w:val="ru-RU"/>
        </w:rPr>
        <w:t>Еще одним фактором, регулирующим динамику гидрологических показателей в акватории, прилегающей к фарватеру, явлется ветровое воздействие. Наблюдения позволил заметить, что температура воды демонстрируют статитсически значимую зависимость от ветров северных и южных румбов (Рис. ++). Т</w:t>
      </w:r>
      <w:r>
        <w:rPr>
          <w:rFonts w:hint="default" w:ascii="Times New Roman" w:hAnsi="Times New Roman"/>
          <w:lang w:val="ru-RU"/>
        </w:rPr>
        <w:t xml:space="preserve">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температуры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w:t>
      </w:r>
    </w:p>
    <w:p w14:paraId="36CFE1D4">
      <w:pPr>
        <w:pStyle w:val="3"/>
        <w:rPr>
          <w:rFonts w:hint="default" w:ascii="Times New Roman" w:hAnsi="Times New Roman"/>
          <w:lang w:val="ru-RU"/>
        </w:rPr>
      </w:pPr>
      <w:r>
        <w:rPr>
          <w:rFonts w:hint="default" w:ascii="Times New Roman" w:hAnsi="Times New Roman"/>
          <w:lang w:val="ru-RU"/>
        </w:rPr>
        <w:t xml:space="preserve">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 </w:t>
      </w:r>
    </w:p>
    <w:p w14:paraId="07F845CB">
      <w:pPr>
        <w:pStyle w:val="3"/>
        <w:rPr>
          <w:rFonts w:hint="default" w:ascii="Times New Roman" w:hAnsi="Times New Roman" w:cs="Times New Roman"/>
          <w:lang w:val="ru-RU"/>
        </w:rPr>
      </w:pPr>
      <w:r>
        <w:rPr>
          <w:rFonts w:hint="default" w:ascii="Times New Roman" w:hAnsi="Times New Roman"/>
          <w:lang w:val="ru-RU"/>
        </w:rPr>
        <w:t xml:space="preserve">Такой выход на поверхность соленой и холодной водной массы был задокументрован в 2006 году (Хайтов, 2006). В этот год в конце июля - начале августа резко упала температура воды (от хараткрных для этого времени года 10-15 С до 4-5 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подотряда Hyperiidea. </w:t>
      </w:r>
    </w:p>
    <w:p w14:paraId="0861113F">
      <w:pPr>
        <w:pStyle w:val="3"/>
        <w:rPr>
          <w:rFonts w:hint="default" w:ascii="Times New Roman" w:hAnsi="Times New Roman" w:cs="Times New Roman"/>
          <w:lang w:val="ru-RU"/>
        </w:rPr>
      </w:pPr>
    </w:p>
    <w:p w14:paraId="7DF92A11">
      <w:pPr>
        <w:pStyle w:val="3"/>
        <w:rPr>
          <w:rFonts w:hint="default" w:ascii="Times New Roman" w:hAnsi="Times New Roman" w:cs="Times New Roman"/>
          <w:lang w:val="ru-RU"/>
        </w:rPr>
      </w:pPr>
      <w:r>
        <w:drawing>
          <wp:inline distT="0" distB="0" distL="114300" distR="114300">
            <wp:extent cx="5333365" cy="4714875"/>
            <wp:effectExtent l="0" t="0" r="635" b="952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2"/>
                    <a:stretch>
                      <a:fillRect/>
                    </a:stretch>
                  </pic:blipFill>
                  <pic:spPr>
                    <a:xfrm>
                      <a:off x="0" y="0"/>
                      <a:ext cx="5333365" cy="4714875"/>
                    </a:xfrm>
                    <a:prstGeom prst="rect">
                      <a:avLst/>
                    </a:prstGeom>
                    <a:noFill/>
                    <a:ln>
                      <a:noFill/>
                    </a:ln>
                  </pic:spPr>
                </pic:pic>
              </a:graphicData>
            </a:graphic>
          </wp:inline>
        </w:drawing>
      </w:r>
    </w:p>
    <w:p w14:paraId="58D9E627">
      <w:pPr>
        <w:rPr>
          <w:rFonts w:hint="default"/>
          <w:lang w:val="ru-RU"/>
        </w:rPr>
      </w:pPr>
      <w:r>
        <w:t>Рисунок +.+. Зависимость температуры воды в Южной губе от силы ветра разных румбов. На рисунке приведена регрессионная прямая (с 95% доверительными интервалами</w:t>
      </w:r>
      <w:r>
        <w:rPr>
          <w:rFonts w:hint="default"/>
          <w:lang w:val="ru-RU"/>
        </w:rPr>
        <w:t>, пунктирная линия</w:t>
      </w:r>
      <w:r>
        <w:t xml:space="preserve">). Горизонтальная прерывистая линия – среднее за все годы значение температуры воды. </w:t>
      </w: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num w:numId="1">
    <w:abstractNumId w:val="0"/>
  </w:num>
  <w:num w:numId="2">
    <w:abstractNumId w:val="2"/>
  </w:num>
  <w:num w:numId="3">
    <w:abstractNumId w:val="1"/>
  </w:num>
  <w:num w:numId="4">
    <w:abstractNumId w:val="4"/>
  </w:num>
  <w:num w:numId="5">
    <w:abstractNumId w:val="5"/>
  </w:num>
  <w:num w:numId="6">
    <w:abstractNumId w:val="9"/>
  </w:num>
  <w:num w:numId="7">
    <w:abstractNumId w:val="7"/>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607706A"/>
    <w:rsid w:val="088005EC"/>
    <w:rsid w:val="09C2553B"/>
    <w:rsid w:val="0BCA7CEA"/>
    <w:rsid w:val="0F8E47D8"/>
    <w:rsid w:val="13A260BC"/>
    <w:rsid w:val="391B30B1"/>
    <w:rsid w:val="3A5B4A05"/>
    <w:rsid w:val="3D2E204C"/>
    <w:rsid w:val="4DC82D45"/>
    <w:rsid w:val="50225E22"/>
    <w:rsid w:val="552E3A44"/>
    <w:rsid w:val="571A361F"/>
    <w:rsid w:val="6A8F5933"/>
    <w:rsid w:val="6B577CA0"/>
    <w:rsid w:val="71511E5F"/>
    <w:rsid w:val="719F7B15"/>
    <w:rsid w:val="752C297F"/>
    <w:rsid w:val="75A87248"/>
    <w:rsid w:val="78110368"/>
    <w:rsid w:val="78B82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uiPriority w:val="0"/>
    <w:pPr>
      <w:jc w:val="both"/>
    </w:pPr>
    <w:rPr>
      <w:rFonts w:eastAsia="SimSun" w:asciiTheme="minorHAnsi" w:hAnsiTheme="minorHAnsi" w:cstheme="minorBidi"/>
      <w:kern w:val="2"/>
      <w:sz w:val="21"/>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sz w:val="28"/>
      <w:szCs w:val="32"/>
      <w:lang w:eastAsia="en-US"/>
      <w14:textFill>
        <w14:solidFill>
          <w14:schemeClr w14:val="tx1"/>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6">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7">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8">
    <w:name w:val="heading 6"/>
    <w:basedOn w:val="1"/>
    <w:next w:val="3"/>
    <w:semiHidden/>
    <w:unhideWhenUsed/>
    <w:qFormat/>
    <w:uiPriority w:val="0"/>
    <w:pPr>
      <w:keepNext/>
      <w:keepLines/>
      <w:spacing w:before="200" w:after="0"/>
      <w:jc w:val="both"/>
      <w:outlineLvl w:val="5"/>
    </w:pPr>
    <w:rPr>
      <w:rFonts w:asciiTheme="majorAscii" w:hAnsiTheme="majorAscii" w:eastAsiaTheme="majorEastAsia" w:cstheme="majorBidi"/>
      <w:color w:val="000000" w:themeColor="text1"/>
      <w:sz w:val="20"/>
      <w:szCs w:val="24"/>
      <w:lang w:eastAsia="en-US"/>
      <w14:textFill>
        <w14:solidFill>
          <w14:schemeClr w14:val="tx1"/>
        </w14:solidFill>
      </w14:textFill>
    </w:rPr>
  </w:style>
  <w:style w:type="paragraph" w:styleId="9">
    <w:name w:val="heading 7"/>
    <w:basedOn w:val="1"/>
    <w:next w:val="1"/>
    <w:semiHidden/>
    <w:unhideWhenUsed/>
    <w:qFormat/>
    <w:uiPriority w:val="0"/>
    <w:pPr>
      <w:widowControl/>
      <w:spacing w:before="240" w:after="60"/>
      <w:outlineLvl w:val="6"/>
    </w:pPr>
    <w:rPr>
      <w:kern w:val="0"/>
      <w:sz w:val="24"/>
      <w:szCs w:val="24"/>
    </w:rPr>
  </w:style>
  <w:style w:type="paragraph" w:styleId="10">
    <w:name w:val="heading 8"/>
    <w:basedOn w:val="1"/>
    <w:next w:val="1"/>
    <w:semiHidden/>
    <w:unhideWhenUsed/>
    <w:qFormat/>
    <w:uiPriority w:val="0"/>
    <w:pPr>
      <w:widowControl/>
      <w:spacing w:before="240" w:after="60"/>
      <w:jc w:val="left"/>
      <w:outlineLvl w:val="7"/>
    </w:pPr>
    <w:rPr>
      <w:i/>
      <w:iCs/>
      <w:kern w:val="0"/>
      <w:sz w:val="24"/>
      <w:szCs w:val="24"/>
    </w:rPr>
  </w:style>
  <w:style w:type="paragraph" w:styleId="11">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jc w:val="both"/>
    </w:pPr>
    <w:rPr>
      <w:rFonts w:asciiTheme="minorAscii" w:hAnsiTheme="minorAscii" w:eastAsiaTheme="minorEastAsia"/>
      <w:szCs w:val="24"/>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autoRedefine/>
    <w:qFormat/>
    <w:uiPriority w:val="0"/>
    <w:rPr>
      <w:sz w:val="16"/>
      <w:szCs w:val="16"/>
    </w:rPr>
  </w:style>
  <w:style w:type="paragraph" w:styleId="32">
    <w:name w:val="List 5"/>
    <w:basedOn w:val="1"/>
    <w:autoRedefine/>
    <w:qFormat/>
    <w:uiPriority w:val="0"/>
    <w:pPr>
      <w:ind w:left="1800" w:hanging="360"/>
    </w:pPr>
  </w:style>
  <w:style w:type="paragraph" w:styleId="33">
    <w:name w:val="List Continue"/>
    <w:basedOn w:val="1"/>
    <w:autoRedefine/>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autoRedefine/>
    <w:qFormat/>
    <w:uiPriority w:val="0"/>
    <w:pPr>
      <w:ind w:left="4320"/>
    </w:pPr>
  </w:style>
  <w:style w:type="paragraph" w:styleId="37">
    <w:name w:val="Normal Indent"/>
    <w:basedOn w:val="1"/>
    <w:autoRedefine/>
    <w:qFormat/>
    <w:uiPriority w:val="0"/>
    <w:pPr>
      <w:ind w:left="708"/>
    </w:pPr>
  </w:style>
  <w:style w:type="paragraph" w:styleId="38">
    <w:name w:val="envelope return"/>
    <w:basedOn w:val="1"/>
    <w:qFormat/>
    <w:uiPriority w:val="0"/>
    <w:rPr>
      <w:rFonts w:ascii="Arial" w:hAnsi="Arial" w:cs="Arial"/>
      <w:sz w:val="20"/>
    </w:rPr>
  </w:style>
  <w:style w:type="paragraph" w:styleId="39">
    <w:name w:val="Plain Text"/>
    <w:basedOn w:val="1"/>
    <w:qFormat/>
    <w:uiPriority w:val="0"/>
    <w:rPr>
      <w:rFonts w:ascii="Courier New" w:hAnsi="Courier New" w:cs="Courier New"/>
      <w:sz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snapToGrid w:val="0"/>
      <w:jc w:val="left"/>
    </w:pPr>
  </w:style>
  <w:style w:type="paragraph" w:styleId="42">
    <w:name w:val="caption"/>
    <w:basedOn w:val="1"/>
    <w:next w:val="1"/>
    <w:semiHidden/>
    <w:unhideWhenUsed/>
    <w:qFormat/>
    <w:uiPriority w:val="0"/>
    <w:rPr>
      <w:rFonts w:ascii="Arial" w:hAnsi="Arial" w:eastAsia="黑体" w:cs="Arial"/>
      <w:sz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snapToGrid w:val="0"/>
      <w:jc w:val="left"/>
    </w:pPr>
    <w:rPr>
      <w:sz w:val="18"/>
      <w:szCs w:val="18"/>
    </w:rPr>
  </w:style>
  <w:style w:type="paragraph" w:styleId="48">
    <w:name w:val="toc 8"/>
    <w:basedOn w:val="1"/>
    <w:next w:val="1"/>
    <w:qFormat/>
    <w:uiPriority w:val="0"/>
    <w:pPr>
      <w:ind w:left="2940" w:leftChars="1400"/>
    </w:pPr>
  </w:style>
  <w:style w:type="paragraph" w:styleId="49">
    <w:name w:val="index 2"/>
    <w:basedOn w:val="1"/>
    <w:next w:val="1"/>
    <w:qFormat/>
    <w:uiPriority w:val="0"/>
    <w:pPr>
      <w:ind w:left="200" w:leftChars="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leftChars="1200"/>
    </w:pPr>
  </w:style>
  <w:style w:type="paragraph" w:styleId="53">
    <w:name w:val="index 3"/>
    <w:basedOn w:val="1"/>
    <w:next w:val="1"/>
    <w:qFormat/>
    <w:uiPriority w:val="0"/>
    <w:pPr>
      <w:ind w:left="400" w:leftChars="400"/>
    </w:pPr>
  </w:style>
  <w:style w:type="paragraph" w:styleId="54">
    <w:name w:val="index 5"/>
    <w:basedOn w:val="1"/>
    <w:next w:val="1"/>
    <w:qFormat/>
    <w:uiPriority w:val="0"/>
    <w:pPr>
      <w:ind w:left="800" w:leftChars="800"/>
    </w:pPr>
  </w:style>
  <w:style w:type="paragraph" w:styleId="55">
    <w:name w:val="index 4"/>
    <w:basedOn w:val="1"/>
    <w:next w:val="1"/>
    <w:qFormat/>
    <w:uiPriority w:val="0"/>
    <w:pPr>
      <w:ind w:left="600" w:leftChars="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leftChars="1600"/>
    </w:pPr>
  </w:style>
  <w:style w:type="paragraph" w:styleId="58">
    <w:name w:val="toc 7"/>
    <w:basedOn w:val="1"/>
    <w:next w:val="1"/>
    <w:qFormat/>
    <w:uiPriority w:val="0"/>
    <w:pPr>
      <w:ind w:left="2520" w:leftChars="1200"/>
    </w:pPr>
  </w:style>
  <w:style w:type="paragraph" w:styleId="59">
    <w:name w:val="index 6"/>
    <w:basedOn w:val="1"/>
    <w:next w:val="1"/>
    <w:qFormat/>
    <w:uiPriority w:val="0"/>
    <w:pPr>
      <w:ind w:left="1000" w:leftChars="1000"/>
    </w:pPr>
  </w:style>
  <w:style w:type="paragraph" w:styleId="60">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uiPriority w:val="0"/>
    <w:pPr>
      <w:numPr>
        <w:ilvl w:val="0"/>
        <w:numId w:val="7"/>
      </w:numPr>
    </w:pPr>
  </w:style>
  <w:style w:type="paragraph" w:styleId="84">
    <w:name w:val="List Bullet 3"/>
    <w:basedOn w:val="1"/>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sz w:val="36"/>
      <w:szCs w:val="36"/>
      <w:lang w:eastAsia="en-US"/>
      <w14:textFill>
        <w14:solidFill>
          <w14:schemeClr w14:val="tx1"/>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qFormat/>
    <w:uiPriority w:val="0"/>
    <w:rPr>
      <w:rFonts w:asciiTheme="minorAscii" w:hAnsiTheme="minorAscii" w:eastAsiaTheme="minorEastAsia"/>
      <w:szCs w:val="24"/>
      <w:lang w:eastAsia="en-US"/>
    </w:rPr>
  </w:style>
  <w:style w:type="paragraph" w:customStyle="1" w:styleId="153">
    <w:name w:val="Image Caption"/>
    <w:basedOn w:val="42"/>
    <w:qFormat/>
    <w:uiPriority w:val="0"/>
    <w:pPr>
      <w:jc w:val="both"/>
    </w:pPr>
    <w:rPr>
      <w:rFonts w:asciiTheme="minorAscii" w:hAnsiTheme="minorAscii" w:eastAsiaTheme="minorEastAsia" w:cstheme="minorBidi"/>
      <w:i/>
      <w:sz w:val="20"/>
      <w:szCs w:val="24"/>
      <w:lang w:eastAsia="en-US"/>
    </w:rPr>
  </w:style>
  <w:style w:type="paragraph" w:customStyle="1" w:styleId="15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em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29</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2024-09-20T09:37:00Z</dcterms:created>
  <dc:creator>google1599737165</dc:creator>
  <cp:lastModifiedBy>polyd</cp:lastModifiedBy>
  <dcterms:modified xsi:type="dcterms:W3CDTF">2024-09-21T20:19:17Z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1049-12.2.0.18283</vt:lpwstr>
  </property>
  <property fmtid="{D5CDD505-2E9C-101B-9397-08002B2CF9AE}" pid="3" name="ICV">
    <vt:lpwstr>53042687A8AF4F4A949382B1F7ECB9D8_11</vt:lpwstr>
  </property>
</Properties>
</file>