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319C2BB3">
      <w:pPr>
        <w:spacing w:beforeLines="0" w:afterLines="0"/>
        <w:jc w:val="left"/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Рыбохозяйственная характеристика акватории Кандалакшского залива Белого моря, попадающей в границы хозяйственной деятельности по объекту: «Ремонтное черпание подходного фарватера к морскому нефтеналивному специализированному порту Витино»</w:t>
      </w:r>
    </w:p>
    <w:p w14:paraId="2292D725">
      <w:pPr>
        <w:spacing w:beforeLines="0" w:afterLines="0"/>
        <w:jc w:val="left"/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4334FA7"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</w:rPr>
        <w:t xml:space="preserve">Введение </w:t>
      </w:r>
    </w:p>
    <w:p w14:paraId="1D36177D"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Подходной фарватер к морскому нефтеналивному специлизированному порту «Витино» начал функционировать в ++++ г. Важной особенностью фарватера является то, что он практически на всем своем протяжении проходит близко к островам, входящим в состав Кандалакшского Государственного Природного Заповедника. На одном из участков (++++) фарватер даже заходит в гранцы ООПТ. Вторая особенность объекта заключается в том, что он, даже будучи проложенным по самым глубоководным участкам подходной акватории, тем не менее захватывает некоторое количество отмелей, препятствующих безопасному прохождению судов. В связи с этим встает насущная необходимость проведения дноуглубительных работ, которые в свою очередь могут стать источником антропогенных воздействий на природные объекты в том числе представленные на территории Заповедника. Кроме того, очевидным объектом техногенного воздействия станет та часть ихтиоценоза вершины Кандалакшского залива Белого моря, которая связана непосредственно с районом предполагаемых работ. В связи с этим необходимо обобщить имеющиеся матриалы, которые позволят оценить факторы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>среды рыб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, обитающих на участках связанных с ремонтным черпапнием дна в районе прохождения фарватера. К числу факторов, рассморенных в данной работе, относятся как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>физико-географические характеристики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акватории и ключевые гидрологические факторы, так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>компонент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ы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 xml:space="preserve"> биоты (фитопланктон, зоопланктон, зообентос)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, с которыми потенциально связаны члены ихтиоценоза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14:paraId="18183904"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</w:pPr>
    </w:p>
    <w:p w14:paraId="43924CC7">
      <w:pPr>
        <w:spacing w:beforeLines="0" w:afterLines="0"/>
        <w:jc w:val="left"/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</w:rPr>
        <w:t xml:space="preserve">Краткая физико-географическая характеристика района работ </w:t>
      </w:r>
    </w:p>
    <w:p w14:paraId="7EFF339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3CFB89C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Краткое хараткристика к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>лиматически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х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</w:rPr>
        <w:t xml:space="preserve"> услови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й</w:t>
      </w:r>
    </w:p>
    <w:p w14:paraId="3778611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Климатические условия района проведения дноуглубительных работ определяются климатическими параметрами всего региона Белого моря. Они характеризуются относительно теплым летом и длительной суровой зимой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Berger, Naumov, 2001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). В течение всего года в регионе происходят частые смены воздушных масс, при этом большую часть года над регионом присуствуют циклоны, которые приводят к высокой вариабельности (иногда в течение одного дня) метеорологических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параметров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Filatov et al., +++).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Наиболее холодное время наблюдается зимой, когда регион захатывают антициклоны, пришедшие из Карского моря и северо-запада Сибири. Температура воздуха в этот период может падать до -30 С, иногда даже даже ниже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Berger, Naumov, 2001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). Наиболее низкая температура, зарегистрованная на территоррии Кандалакшского заповедника, составила +++ С (+++).  Летняя температура может достигать +30 С, однако в норме она не превышает 15-20 С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Berger, Naumov, 2001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). Самая высокая темпреатура зарегистрированная на территории Кандалакшского заповедника составила +++ С (++++). Более подробная хараткеристика климатических условий приводится в специализированных работах (++++). </w:t>
      </w:r>
    </w:p>
    <w:p w14:paraId="5FE47CE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7DCF4867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Важной особенностью климатических условий вершины Кандалакшского залива Белого моря является образование ледового покрова. Лед держится в акватории с ++ по +++ (Летопись+++). Однако, начиная с 2008 года регулярно наблюдаются события, когда в конце декабря - начале января не происходило формирования ледяного покрова (Рис. ++). Глобальный тренд повышения температуры выражается, в том числе, и в снижении толщины ледового покрова, отмечающейся в вершине Кандалакшского залива (Хайтов, 2015). </w:t>
      </w:r>
    </w:p>
    <w:p w14:paraId="65CCA47C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E2B5A44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388B885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INCLUDEPICTURE "R%20calculations%20for%20Letopis%202015/Khaitov_2015_chapter_ice_cover_files/figure-html/unnamed-chunk-3-1.png" \* MERGEFORMATINET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62730" cy="2901950"/>
            <wp:effectExtent l="0" t="0" r="6350" b="8890"/>
            <wp:docPr id="1" name="Изображение 1" descr="unnamed-chunk-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unnamed-chunk-3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 w14:paraId="1E20D1A4">
      <w:pPr>
        <w:rPr>
          <w:rFonts w:hint="default" w:ascii="Times New Roman" w:hAnsi="Times New Roman" w:cs="Times New Roman"/>
          <w:sz w:val="24"/>
          <w:szCs w:val="24"/>
        </w:rPr>
      </w:pPr>
    </w:p>
    <w:p w14:paraId="4508543E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++. Многолетние изменения толщины льда в конце декабря - начале января по данным наблюдений за 1988 - 2016 гг. 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ab/>
      </w:r>
    </w:p>
    <w:p w14:paraId="2393CF2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04C21E88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ADADE3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Ветровая нагрузка в летний период характеризуется преобладанием ветров северных, северо-восточных, южных и юго-восточных  румбов (Хайтов, 2011; 2013; 2014, рис. ++). При этом самыми слабыми являются ветры северных румбов, что связано с формой рельефа в регионе. Ветры идущие с южного направления не встречают преград и достигают наибольших скоростей (Хайтов, 2011, рис. ++). </w:t>
      </w:r>
    </w:p>
    <w:p w14:paraId="782DC52C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2B46E8C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5DFF17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1971675"/>
            <wp:effectExtent l="0" t="0" r="2540" b="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7F6">
      <w:pPr>
        <w:rPr>
          <w:rFonts w:hint="default" w:ascii="Times New Roman" w:hAnsi="Times New Roman" w:cs="Times New Roman"/>
          <w:sz w:val="24"/>
          <w:szCs w:val="24"/>
        </w:rPr>
      </w:pPr>
    </w:p>
    <w:p w14:paraId="71AE5107"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++. Частота наблюдения ветров с разным направлением в районе Кандалакши.</w:t>
      </w:r>
    </w:p>
    <w:p w14:paraId="4E179F08"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6E28E0DE"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588260" cy="1939290"/>
            <wp:effectExtent l="0" t="0" r="2540" b="1143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73B4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</w:t>
      </w:r>
    </w:p>
    <w:p w14:paraId="1D869818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Рисунок ++. Средняя скорость ветров (±95% доверительный интервал) разных направлений в районе Кандалакши (наблюдения 2011 г.)</w:t>
      </w:r>
    </w:p>
    <w:p w14:paraId="4051DFE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FB3E497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</w:t>
      </w:r>
    </w:p>
    <w:p w14:paraId="79E7D404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</w:pPr>
    </w:p>
    <w:p w14:paraId="7548B14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Географическое описание района проведения работ</w:t>
      </w:r>
    </w:p>
    <w:p w14:paraId="2D54664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Подходной фарватер к нефтеналивному специализированному порту «Витино» начинается на траверзе островов Ломтишных (о. Большой и Малый Ломтишные) на востоке и траверзе пролива между островом Капша и материком (Карельский берег), ведущим в губу Капша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Рис. ++). Далее фарватер следует по узкому проливу, Западной Ряжковой салме, проходящему между материком на западе и цепью островов и луд на востоке (самые крупные острова, прилегающие к фарватеру: Куричек, Ряшков, Криньин и Ламбин). Далее фарватер сворачивает на северо-восток, уходя в пролив Оленья салма (между материком и островом Олений) и заканчивается, непосредственно в порту «Витино». </w:t>
      </w:r>
    </w:p>
    <w:p w14:paraId="2DD5A7D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7E20AA64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Помимо акватории, непосредственно связанной с фарватером, в проекте будет задействован участок, предназначенный для отвала и захоронения донных грунтов. Этот участок располагается между материком и островами Олений и Телячий, напротив пролива Телячья салма. В этом районе находится участок со значительными глубинами (до 30 м). </w:t>
      </w:r>
    </w:p>
    <w:p w14:paraId="7537E3F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1E94CBB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Гидрологические условия </w:t>
      </w:r>
    </w:p>
    <w:p w14:paraId="4FA84983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11207BE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Характер стационарных течений в вершине Кандалакшского залива сложен и изучен недостаточно. Средняя скорость стабильных течений во всем Белом море относительно слаба и составляет не более 10-20 см/сек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Berger, Naumov, 2001).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Наиболее выраженное стационарное течение в Кандалакшском заливе несет воды вдоль Карельского берега к выходу из залива со скоростью не превышающей 0.1 узла (Атлас..., 1991).</w:t>
      </w:r>
    </w:p>
    <w:p w14:paraId="401010F0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</w:pPr>
    </w:p>
    <w:p w14:paraId="1566819D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Вместе с тем, скорость течений вызванных полусуточными приливно-отливными колебаниями может быть весьма велика ++++.  Наиболее сильные течения наблюдаются в узких проливах, в том числе в Западной Ряжковой салме, по которой проходит фарватер. ++++  </w:t>
      </w:r>
    </w:p>
    <w:p w14:paraId="486452F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19489745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A62062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Характеристика водных масс</w:t>
      </w:r>
    </w:p>
    <w:p w14:paraId="1CFF792B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Вершина Кандалакшского залива Белого моря характеризуется выраженными градиентами многих экологических факторов, которые изменяются как в горизонтальном, так и в вертикальном (по глубине) направлении. В первую очередь такие градиенты демонстрируют соленость и температура воды. Во многом, пространственная изменчивость этих двух показателей связана с влиянием крупных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рек, впадающих в Кандалакшский залив. Самыми крупными водотоками в районе, прилегающем к фарватеру, являются реки Нива, Колвица сток из губы Канда, а также охладительный канал Нивской ГЭС. Помимо этих водотоков, играющих ведущую роль в формировании паттерна распределения солености, в акваторию впадают и малые реки (Капша, Лувеньга, Лупче-Савино), а также многочисленные ручьи.</w:t>
      </w:r>
    </w:p>
    <w:p w14:paraId="17D9DBE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4B0DAB93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Результаты картирования поверхностной солености в вершине Кандалакшского залива (Хайтов, 2015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оригинальные данные, собранные в 2024 г., рис. ++) позволили выявить несколько закономерностей. Во-первых, в акватории наблюдается отчетливый пространственный градиент, характеризующийся минимальной соленостью в куту залива и постепенным ее повышением по мере движения от кута к открытой части акватории. Во-вторых, общая форма этого градиента воспроизводится в разные годы. И, в третьих, зона распространения языка пресной воды, связанного с влиянием сброса из реки Нивы и охладительного канала «Нивской» ГЭС, вытянута вдоль Карельского берега. Участки акватории, расположенные вдоль Кандалакшского берега не подвергаются значительному опреснению. Это хорошо согласуется с общим паттерном течений, описанным выше. Таким образом, влияние сброса пресной воды в вершине Кандалакшского залива будет оказывать наиболее сильное влияние на участки акватории, прилегающие к Карельскому берегу. Именно в этой зоне представлены биосистемы, находящиеся в зоне потенциального влияния дноуглубительных работ.</w:t>
      </w:r>
    </w:p>
    <w:p w14:paraId="5334B205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C90768E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D88BB69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5504815"/>
            <wp:effectExtent l="0" t="0" r="4445" b="1206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4965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297C41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 Рисунок ++. Точки отбора проб и карты пространственного распределения значений поверхностной солености в 2015 и 2024 гг. </w:t>
      </w:r>
    </w:p>
    <w:p w14:paraId="7153D83F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0E85CD0D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347B5813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Поскольку для морских биосистем важны не только характеристики поверхностных вод важно рассмотреть то, как устроена вертикальная структура водной массы. Фоновая соленость в Кандалакшском заливе составляет 20-21%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vertAlign w:val="subscript"/>
          <w:lang w:val="ru-RU"/>
        </w:rPr>
        <w:t>о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на поверхности и около 25-26%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vertAlign w:val="subscript"/>
          <w:lang w:val="ru-RU"/>
        </w:rPr>
        <w:t>о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в придонном слое со средним вертикальным градиентом 0.25%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vertAlign w:val="subscript"/>
          <w:lang w:val="ru-RU"/>
        </w:rPr>
        <w:t>о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на 1м (Пантюлин, +++). Индекс стратификации водных масс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n=0.22)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соответствует условиям частичного перемешивания вод (Пантюлин, +++). Анализ солености на нескольких горизонитах глубины в акватории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Хайтов, 2007, рис. ++) показал, что скачек солености происходит на глубине около 5 м. На глубине более 10 м соленость составляет около 25 %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vertAlign w:val="subscript"/>
          <w:lang w:val="ru-RU"/>
        </w:rPr>
        <w:t>о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.</w:t>
      </w:r>
    </w:p>
    <w:p w14:paraId="06562A51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66748D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Стратификация воды в районе фарватера (точка  координатами ++ ++), оцененная во время малой воды, выражена значительно слабее (Рис. ++).  Это, вероятно, связано с сильными течениями, пермешивающими опресненную воду, идущую из кута залива и придонную воду с нормальной морской водой. </w:t>
      </w:r>
    </w:p>
    <w:p w14:paraId="2EF6AFAB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Для более надежной оценки структры водных масс необходимо учитывать значения не только солености, но и температуры воды. Картину циркуляции водных масс в районе, непосредственно прилегающем к фарватеру, отчасти позволяю реконструировать ежесуточные наблюдения, которые осуществляются в течение всего летнего периода в точке (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>N = ++, E = ++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), расположенной в Южной губе о. Ряшкова, в 900 м от восточной границы фарватера. </w:t>
      </w:r>
    </w:p>
    <w:p w14:paraId="5737C2E1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7326A9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08A5F20E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70805" cy="3582035"/>
            <wp:effectExtent l="0" t="0" r="10795" b="14605"/>
            <wp:docPr id="6" name="Замещающее содержимо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мещающее содержимо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5C53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56ADB4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  <w:lang w:val="en-US"/>
        </w:rPr>
        <w:t>+.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1.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</w:rPr>
        <w:t xml:space="preserve"> T-S диаграмма для летних водных масс Южной губы о. Ряжкова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/>
        </w:rPr>
        <w:t>.</w:t>
      </w:r>
      <w:r>
        <w:rPr>
          <w:rFonts w:hint="default" w:ascii="Times New Roman" w:hAnsi="Times New Roman" w:cs="Times New Roman"/>
          <w:i w:val="0"/>
          <w:iCs/>
          <w:sz w:val="24"/>
          <w:szCs w:val="24"/>
        </w:rPr>
        <w:t xml:space="preserve"> Контуры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/>
        </w:rPr>
        <w:t xml:space="preserve"> соответствуют </w:t>
      </w:r>
      <w:r>
        <w:rPr>
          <w:rFonts w:hint="default" w:ascii="Times New Roman" w:hAnsi="Times New Roman" w:cs="Times New Roman"/>
          <w:i w:val="0"/>
          <w:iCs/>
          <w:sz w:val="24"/>
          <w:szCs w:val="24"/>
        </w:rPr>
        <w:t>оценке ядерной плотности распределения точек.</w:t>
      </w:r>
    </w:p>
    <w:p w14:paraId="1D77373E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589E870">
      <w:pPr>
        <w:pStyle w:val="3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На рисунке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++ </w:t>
      </w:r>
      <w:r>
        <w:rPr>
          <w:rFonts w:hint="default" w:ascii="Times New Roman" w:hAnsi="Times New Roman" w:cs="Times New Roman"/>
          <w:sz w:val="24"/>
          <w:szCs w:val="24"/>
        </w:rPr>
        <w:t>отчетливо выделяются два скопления точек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, что свидетельствует </w:t>
      </w:r>
      <w:r>
        <w:rPr>
          <w:rFonts w:hint="default" w:ascii="Times New Roman" w:hAnsi="Times New Roman" w:cs="Times New Roman"/>
          <w:sz w:val="24"/>
          <w:szCs w:val="24"/>
        </w:rPr>
        <w:t>о прохождении через акваторию Южной губы двух водных масс. Первая водная масса - имеет более высокую соленость (более 19 промилле), вероятно, соответствует обычной поверхностной летней водной массе, характерной для Белого моря. Эта водная масса демонстрирует широкие колебания температуры. Видимо, это связано с постепенным прогревом этих вод в течение лета. Вторая водная масса имеет соленость ниже 19 промилле и характеризуется более высокой температурой, варьирующей в узких пределах. Более «компактный» характер второй водной массы позволяет предположить, что она присутствует в акватории очень короткое время, довольно быстро ассимилируясь с господствующей здесь основной, первой водной массой.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Между соленостью и температурой воды во все годы наблюдений наблюдалась отчетливая, статистически значимая отрицательная корреляция (Рис. ++)</w:t>
      </w:r>
    </w:p>
    <w:p w14:paraId="1465C4AF">
      <w:pPr>
        <w:pStyle w:val="3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FF35652">
      <w:pPr>
        <w:pStyle w:val="3"/>
        <w:rPr>
          <w:rFonts w:hint="default" w:ascii="Times New Roman" w:hAnsi="Times New Roman"/>
          <w:sz w:val="24"/>
          <w:szCs w:val="24"/>
        </w:rPr>
      </w:pPr>
      <w:r>
        <w:drawing>
          <wp:inline distT="0" distB="0" distL="114300" distR="114300">
            <wp:extent cx="3312160" cy="3312160"/>
            <wp:effectExtent l="0" t="0" r="10160" b="10160"/>
            <wp:docPr id="27" name="Picture" descr="Рисунок 3. Связь солености и температуры воды в Южной губе o. Ряжкова летом 2023 г. Relationship of salinity and water temperature in the Youzhnaya Bay in the summer of 2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Рисунок 3. Связь солености и температуры воды в Южной губе o. Ряжкова летом 2023 г. Relationship of salinity and water temperature in the Youzhnaya Bay in the summer of 2023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39E01E">
      <w:pPr>
        <w:pStyle w:val="3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</w:rPr>
        <w:t xml:space="preserve">Рисунок </w:t>
      </w:r>
      <w:r>
        <w:rPr>
          <w:rFonts w:hint="default" w:ascii="Times New Roman" w:hAnsi="Times New Roman"/>
          <w:sz w:val="24"/>
          <w:szCs w:val="24"/>
          <w:lang w:val="ru-RU"/>
        </w:rPr>
        <w:t>++</w:t>
      </w:r>
      <w:r>
        <w:rPr>
          <w:rFonts w:hint="default" w:ascii="Times New Roman" w:hAnsi="Times New Roman"/>
          <w:sz w:val="24"/>
          <w:szCs w:val="24"/>
        </w:rPr>
        <w:t xml:space="preserve">. Связь солености и температуры воды в Южной губе o. Ряжкова </w:t>
      </w:r>
      <w:r>
        <w:rPr>
          <w:rFonts w:hint="default" w:ascii="Times New Roman" w:hAnsi="Times New Roman"/>
          <w:sz w:val="24"/>
          <w:szCs w:val="24"/>
          <w:lang w:val="ru-RU"/>
        </w:rPr>
        <w:t>в летний период (Хайтов, 2023)</w:t>
      </w:r>
    </w:p>
    <w:p w14:paraId="1B3B5B64">
      <w:pPr>
        <w:pStyle w:val="3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0CEC126B">
      <w:pPr>
        <w:pStyle w:val="3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drawing>
          <wp:inline distT="0" distB="0" distL="114300" distR="114300">
            <wp:extent cx="6132195" cy="2586990"/>
            <wp:effectExtent l="0" t="0" r="9525" b="381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2246">
      <w:pPr>
        <w:pStyle w:val="3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Рисунок ++. М</w:t>
      </w:r>
      <w:r>
        <w:rPr>
          <w:rFonts w:hint="default" w:ascii="Times New Roman" w:hAnsi="Times New Roman"/>
          <w:sz w:val="24"/>
          <w:szCs w:val="24"/>
        </w:rPr>
        <w:t>ноголетняя динамика фенологических характеристик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поверхностной водной массы. Левая панель описывает изменение солености. Изолинии проведены с шагом в 5 промилле. Правая панель - изменеие </w:t>
      </w:r>
      <w:r>
        <w:rPr>
          <w:rFonts w:hint="default" w:ascii="Times New Roman" w:hAnsi="Times New Roman"/>
          <w:sz w:val="24"/>
          <w:szCs w:val="24"/>
        </w:rPr>
        <w:t xml:space="preserve"> температуры воды в Южной губе. Изолинии проведены с шагом в 5 градусов.</w:t>
      </w:r>
    </w:p>
    <w:p w14:paraId="641954CF">
      <w:pPr>
        <w:pStyle w:val="3"/>
        <w:rPr>
          <w:rFonts w:hint="default" w:ascii="Times New Roman" w:hAnsi="Times New Roman"/>
          <w:sz w:val="24"/>
          <w:szCs w:val="24"/>
        </w:rPr>
      </w:pPr>
    </w:p>
    <w:p w14:paraId="0937E346">
      <w:pPr>
        <w:pStyle w:val="3"/>
        <w:rPr>
          <w:rFonts w:hint="default" w:ascii="Times New Roman" w:hAnsi="Times New Roman"/>
          <w:sz w:val="24"/>
          <w:szCs w:val="24"/>
        </w:rPr>
      </w:pPr>
    </w:p>
    <w:p w14:paraId="7666DC31">
      <w:pPr>
        <w:pStyle w:val="3"/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Харктеристики водной массы, проходящей через акваторию, достаточно закономерно изменяются в течение летних месяцев (Хайтов, 2022). </w:t>
      </w:r>
      <w:r>
        <w:rPr>
          <w:rFonts w:hint="default" w:ascii="Times New Roman" w:hAnsi="Times New Roman"/>
          <w:sz w:val="24"/>
          <w:szCs w:val="24"/>
        </w:rPr>
        <w:t>Как показали многолетние наблюдения</w:t>
      </w:r>
      <w:r>
        <w:rPr>
          <w:rFonts w:hint="default" w:ascii="Times New Roman" w:hAnsi="Times New Roman"/>
          <w:sz w:val="24"/>
          <w:szCs w:val="24"/>
          <w:lang w:val="ru-RU"/>
        </w:rPr>
        <w:t>,</w:t>
      </w:r>
      <w:r>
        <w:rPr>
          <w:rFonts w:hint="default" w:ascii="Times New Roman" w:hAnsi="Times New Roman"/>
          <w:sz w:val="24"/>
          <w:szCs w:val="24"/>
        </w:rPr>
        <w:t xml:space="preserve"> характеристики водной массы демонстрируют </w:t>
      </w:r>
      <w:r>
        <w:rPr>
          <w:rFonts w:hint="default" w:ascii="Times New Roman" w:hAnsi="Times New Roman"/>
          <w:sz w:val="24"/>
          <w:szCs w:val="24"/>
          <w:lang w:val="ru-RU"/>
        </w:rPr>
        <w:t>повторяющиеся год от года закономерности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изменения в течение летних месяцев и при этом прослежваются некоторые ноолетние изменения в паттерне сезонных изменений. С</w:t>
      </w:r>
      <w:bookmarkStart w:id="0" w:name="_GoBack"/>
      <w:bookmarkEnd w:id="0"/>
      <w:r>
        <w:t>оленость воды (Рисунок 1) демонстрирует многолетнюю стабильность в августе. В этот месяце во все годы более или менее постоянно отмечается опресненная водная масса. Однако динамика солености в начале и середины лета имеет совершенно иной характер. В начале лета в акватории всегда наблюдается повышенная соленость. Однако, если в начале наблюдений (2007-2009 гг.) “язык” воды с высокой соленостью присутствовал только в июне, то после 2010 года берет начало тенденция увеличения сроков пребывания этой водной массы в акватории (она присутствует в акватории не только в июне, но и в первой половине июля). Однако после 2019 г. присутствие этой водной массы в июле уже не отмечается. Выраженность соленой водной массы после 2020 г. сильно снизилась и в июне.</w:t>
      </w:r>
    </w:p>
    <w:p w14:paraId="097050DD">
      <w:pPr>
        <w:rPr>
          <w:rFonts w:hint="default" w:ascii="Times New Roman" w:hAnsi="Times New Roman"/>
          <w:sz w:val="24"/>
          <w:szCs w:val="24"/>
          <w:lang w:val="ru-RU"/>
        </w:rPr>
      </w:pPr>
    </w:p>
    <w:p w14:paraId="2D3294C8">
      <w:pPr>
        <w:rPr>
          <w:rFonts w:hint="default" w:ascii="Times New Roman" w:hAnsi="Times New Roman"/>
          <w:sz w:val="24"/>
          <w:szCs w:val="24"/>
          <w:lang w:val="ru-RU"/>
        </w:rPr>
      </w:pPr>
    </w:p>
    <w:p w14:paraId="39B63509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73AEB51A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Многолетние наблюдения в этой точке выявили, что на поверхности (глубина 1 м) стабильно существует </w:t>
      </w:r>
    </w:p>
    <w:p w14:paraId="67517E24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340C896D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 </w:t>
      </w:r>
    </w:p>
    <w:p w14:paraId="7BB37D66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28EB8E63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17CDA79B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4C45B42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01FF259C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>Однако многочисленные факторы могут приводить существенным отличиям от этих значений, как в меньшую, так и в большую сторону.</w:t>
      </w:r>
    </w:p>
    <w:p w14:paraId="1799F4C8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52ABD3B9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0A486E8B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p w14:paraId="6A48901D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  </w:t>
      </w:r>
    </w:p>
    <w:p w14:paraId="58D9E627"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/>
        </w:rPr>
      </w:pP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50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91715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07706A"/>
    <w:rsid w:val="088005EC"/>
    <w:rsid w:val="09C2553B"/>
    <w:rsid w:val="0BCA7CEA"/>
    <w:rsid w:val="0F8E47D8"/>
    <w:rsid w:val="13A260BC"/>
    <w:rsid w:val="391B30B1"/>
    <w:rsid w:val="3A5B4A05"/>
    <w:rsid w:val="3D2E204C"/>
    <w:rsid w:val="4DC82D45"/>
    <w:rsid w:val="50225E22"/>
    <w:rsid w:val="552E3A44"/>
    <w:rsid w:val="571A361F"/>
    <w:rsid w:val="6A8F5933"/>
    <w:rsid w:val="6B577CA0"/>
    <w:rsid w:val="71511E5F"/>
    <w:rsid w:val="719F7B15"/>
    <w:rsid w:val="75A87248"/>
    <w:rsid w:val="78110368"/>
    <w:rsid w:val="78B8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32"/>
      <w:lang w:eastAsia="en-US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link w:val="151"/>
    <w:semiHidden/>
    <w:unhideWhenUsed/>
    <w:qFormat/>
    <w:uiPriority w:val="0"/>
    <w:pPr>
      <w:keepNext/>
      <w:keepLines/>
      <w:spacing w:before="200" w:after="0"/>
      <w:jc w:val="center"/>
      <w:outlineLvl w:val="1"/>
    </w:pPr>
    <w:rPr>
      <w:rFonts w:asciiTheme="majorAscii" w:hAnsiTheme="majorAscii" w:eastAsiaTheme="majorEastAsia" w:cstheme="majorBidi"/>
      <w:b/>
      <w:bCs/>
      <w:i/>
      <w:color w:val="000000" w:themeColor="text1"/>
      <w:szCs w:val="24"/>
      <w:lang w:eastAsia="en-US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8">
    <w:name w:val="heading 6"/>
    <w:basedOn w:val="1"/>
    <w:next w:val="3"/>
    <w:semiHidden/>
    <w:unhideWhenUsed/>
    <w:qFormat/>
    <w:uiPriority w:val="0"/>
    <w:pPr>
      <w:keepNext/>
      <w:keepLines/>
      <w:spacing w:before="200" w:after="0"/>
      <w:jc w:val="both"/>
      <w:outlineLvl w:val="5"/>
    </w:pPr>
    <w:rPr>
      <w:rFonts w:asciiTheme="majorAscii" w:hAnsiTheme="majorAscii" w:eastAsiaTheme="majorEastAsia" w:cstheme="majorBidi"/>
      <w:color w:val="000000" w:themeColor="text1"/>
      <w:sz w:val="20"/>
      <w:szCs w:val="24"/>
      <w:lang w:eastAsia="en-US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2"/>
    <w:qFormat/>
    <w:uiPriority w:val="0"/>
    <w:pPr>
      <w:spacing w:before="180" w:after="180"/>
      <w:jc w:val="both"/>
    </w:pPr>
    <w:rPr>
      <w:rFonts w:asciiTheme="minorAscii" w:hAnsiTheme="minorAscii" w:eastAsiaTheme="minorEastAsia"/>
      <w:szCs w:val="24"/>
      <w:lang w:eastAsia="en-US"/>
    </w:rPr>
  </w:style>
  <w:style w:type="character" w:styleId="14">
    <w:name w:val="HTML Sample"/>
    <w:basedOn w:val="12"/>
    <w:autoRedefine/>
    <w:qFormat/>
    <w:uiPriority w:val="0"/>
    <w:rPr>
      <w:rFonts w:ascii="Courier New" w:hAnsi="Courier New" w:cs="Courier New"/>
    </w:rPr>
  </w:style>
  <w:style w:type="character" w:styleId="15">
    <w:name w:val="FollowedHyperlink"/>
    <w:basedOn w:val="12"/>
    <w:autoRedefine/>
    <w:qFormat/>
    <w:uiPriority w:val="0"/>
    <w:rPr>
      <w:color w:val="800080"/>
      <w:u w:val="single"/>
    </w:rPr>
  </w:style>
  <w:style w:type="character" w:styleId="16">
    <w:name w:val="footnote reference"/>
    <w:basedOn w:val="12"/>
    <w:autoRedefine/>
    <w:qFormat/>
    <w:uiPriority w:val="0"/>
    <w:rPr>
      <w:vertAlign w:val="superscript"/>
    </w:rPr>
  </w:style>
  <w:style w:type="character" w:styleId="17">
    <w:name w:val="annotation reference"/>
    <w:basedOn w:val="12"/>
    <w:autoRedefine/>
    <w:qFormat/>
    <w:uiPriority w:val="0"/>
    <w:rPr>
      <w:sz w:val="21"/>
      <w:szCs w:val="21"/>
    </w:rPr>
  </w:style>
  <w:style w:type="character" w:styleId="18">
    <w:name w:val="endnote reference"/>
    <w:basedOn w:val="12"/>
    <w:autoRedefine/>
    <w:qFormat/>
    <w:uiPriority w:val="0"/>
    <w:rPr>
      <w:vertAlign w:val="superscript"/>
    </w:rPr>
  </w:style>
  <w:style w:type="character" w:styleId="19">
    <w:name w:val="HTML Acronym"/>
    <w:basedOn w:val="12"/>
    <w:autoRedefine/>
    <w:qFormat/>
    <w:uiPriority w:val="0"/>
  </w:style>
  <w:style w:type="character" w:styleId="20">
    <w:name w:val="Emphasis"/>
    <w:basedOn w:val="12"/>
    <w:autoRedefine/>
    <w:qFormat/>
    <w:uiPriority w:val="0"/>
    <w:rPr>
      <w:i/>
      <w:iCs/>
    </w:rPr>
  </w:style>
  <w:style w:type="character" w:styleId="21">
    <w:name w:val="Hyperlink"/>
    <w:basedOn w:val="12"/>
    <w:autoRedefine/>
    <w:qFormat/>
    <w:uiPriority w:val="0"/>
    <w:rPr>
      <w:color w:val="0000FF"/>
      <w:u w:val="single"/>
    </w:rPr>
  </w:style>
  <w:style w:type="character" w:styleId="22">
    <w:name w:val="HTML Keyboard"/>
    <w:basedOn w:val="12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HTML Code"/>
    <w:basedOn w:val="12"/>
    <w:autoRedefine/>
    <w:qFormat/>
    <w:uiPriority w:val="0"/>
    <w:rPr>
      <w:rFonts w:ascii="Courier New" w:hAnsi="Courier New" w:cs="Courier New"/>
      <w:sz w:val="20"/>
      <w:szCs w:val="20"/>
    </w:rPr>
  </w:style>
  <w:style w:type="character" w:styleId="24">
    <w:name w:val="page number"/>
    <w:basedOn w:val="12"/>
    <w:autoRedefine/>
    <w:qFormat/>
    <w:uiPriority w:val="0"/>
  </w:style>
  <w:style w:type="character" w:styleId="25">
    <w:name w:val="line number"/>
    <w:basedOn w:val="12"/>
    <w:qFormat/>
    <w:uiPriority w:val="0"/>
  </w:style>
  <w:style w:type="character" w:styleId="26">
    <w:name w:val="HTML Definition"/>
    <w:basedOn w:val="12"/>
    <w:autoRedefine/>
    <w:qFormat/>
    <w:uiPriority w:val="0"/>
    <w:rPr>
      <w:i/>
      <w:iCs/>
    </w:rPr>
  </w:style>
  <w:style w:type="character" w:styleId="27">
    <w:name w:val="HTML Variable"/>
    <w:basedOn w:val="12"/>
    <w:qFormat/>
    <w:uiPriority w:val="0"/>
    <w:rPr>
      <w:i/>
      <w:iCs/>
    </w:rPr>
  </w:style>
  <w:style w:type="character" w:styleId="28">
    <w:name w:val="HTML Typewriter"/>
    <w:basedOn w:val="12"/>
    <w:autoRedefine/>
    <w:qFormat/>
    <w:uiPriority w:val="0"/>
    <w:rPr>
      <w:rFonts w:ascii="Courier New" w:hAnsi="Courier New" w:cs="Courier New"/>
      <w:sz w:val="20"/>
      <w:szCs w:val="20"/>
    </w:rPr>
  </w:style>
  <w:style w:type="character" w:styleId="29">
    <w:name w:val="Strong"/>
    <w:basedOn w:val="12"/>
    <w:qFormat/>
    <w:uiPriority w:val="0"/>
    <w:rPr>
      <w:b/>
      <w:bCs/>
    </w:rPr>
  </w:style>
  <w:style w:type="character" w:styleId="30">
    <w:name w:val="HTML Cite"/>
    <w:basedOn w:val="12"/>
    <w:autoRedefine/>
    <w:qFormat/>
    <w:uiPriority w:val="0"/>
    <w:rPr>
      <w:i/>
      <w:iCs/>
    </w:rPr>
  </w:style>
  <w:style w:type="paragraph" w:styleId="31">
    <w:name w:val="Balloon Text"/>
    <w:basedOn w:val="1"/>
    <w:autoRedefine/>
    <w:qFormat/>
    <w:uiPriority w:val="0"/>
    <w:rPr>
      <w:sz w:val="16"/>
      <w:szCs w:val="16"/>
    </w:rPr>
  </w:style>
  <w:style w:type="paragraph" w:styleId="32">
    <w:name w:val="List 5"/>
    <w:basedOn w:val="1"/>
    <w:autoRedefine/>
    <w:qFormat/>
    <w:uiPriority w:val="0"/>
    <w:pPr>
      <w:ind w:left="1800" w:hanging="360"/>
    </w:pPr>
  </w:style>
  <w:style w:type="paragraph" w:styleId="33">
    <w:name w:val="List Continue"/>
    <w:basedOn w:val="1"/>
    <w:autoRedefine/>
    <w:qFormat/>
    <w:uiPriority w:val="0"/>
    <w:pPr>
      <w:spacing w:after="120"/>
      <w:ind w:left="360"/>
    </w:pPr>
  </w:style>
  <w:style w:type="paragraph" w:styleId="34">
    <w:name w:val="Body Text 2"/>
    <w:basedOn w:val="1"/>
    <w:qFormat/>
    <w:uiPriority w:val="0"/>
    <w:pPr>
      <w:spacing w:after="120" w:line="480" w:lineRule="auto"/>
    </w:pPr>
  </w:style>
  <w:style w:type="paragraph" w:styleId="35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6">
    <w:name w:val="Closing"/>
    <w:basedOn w:val="1"/>
    <w:autoRedefine/>
    <w:qFormat/>
    <w:uiPriority w:val="0"/>
    <w:pPr>
      <w:ind w:left="4320"/>
    </w:pPr>
  </w:style>
  <w:style w:type="paragraph" w:styleId="37">
    <w:name w:val="Normal Indent"/>
    <w:basedOn w:val="1"/>
    <w:autoRedefine/>
    <w:qFormat/>
    <w:uiPriority w:val="0"/>
    <w:pPr>
      <w:ind w:left="708"/>
    </w:pPr>
  </w:style>
  <w:style w:type="paragraph" w:styleId="38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9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40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1">
    <w:name w:val="endnote text"/>
    <w:basedOn w:val="1"/>
    <w:qFormat/>
    <w:uiPriority w:val="0"/>
    <w:pPr>
      <w:snapToGrid w:val="0"/>
      <w:jc w:val="left"/>
    </w:pPr>
  </w:style>
  <w:style w:type="paragraph" w:styleId="42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3">
    <w:name w:val="annotation text"/>
    <w:basedOn w:val="1"/>
    <w:qFormat/>
    <w:uiPriority w:val="0"/>
    <w:pPr>
      <w:jc w:val="left"/>
    </w:pPr>
  </w:style>
  <w:style w:type="paragraph" w:styleId="44">
    <w:name w:val="index 1"/>
    <w:basedOn w:val="1"/>
    <w:next w:val="1"/>
    <w:qFormat/>
    <w:uiPriority w:val="0"/>
  </w:style>
  <w:style w:type="paragraph" w:styleId="45">
    <w:name w:val="annotation subject"/>
    <w:basedOn w:val="43"/>
    <w:next w:val="43"/>
    <w:qFormat/>
    <w:uiPriority w:val="0"/>
    <w:rPr>
      <w:b/>
      <w:bCs/>
    </w:rPr>
  </w:style>
  <w:style w:type="paragraph" w:styleId="46">
    <w:name w:val="Document Map"/>
    <w:basedOn w:val="1"/>
    <w:qFormat/>
    <w:uiPriority w:val="0"/>
    <w:pPr>
      <w:shd w:val="clear" w:color="auto" w:fill="000080"/>
    </w:pPr>
  </w:style>
  <w:style w:type="paragraph" w:styleId="47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8">
    <w:name w:val="toc 8"/>
    <w:basedOn w:val="1"/>
    <w:next w:val="1"/>
    <w:qFormat/>
    <w:uiPriority w:val="0"/>
    <w:pPr>
      <w:ind w:left="2940" w:leftChars="1400"/>
    </w:pPr>
  </w:style>
  <w:style w:type="paragraph" w:styleId="49">
    <w:name w:val="index 2"/>
    <w:basedOn w:val="1"/>
    <w:next w:val="1"/>
    <w:qFormat/>
    <w:uiPriority w:val="0"/>
    <w:pPr>
      <w:ind w:left="200" w:leftChars="200"/>
    </w:pPr>
  </w:style>
  <w:style w:type="paragraph" w:styleId="50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1">
    <w:name w:val="HTML Address"/>
    <w:basedOn w:val="1"/>
    <w:qFormat/>
    <w:uiPriority w:val="0"/>
    <w:rPr>
      <w:i/>
      <w:iCs/>
    </w:rPr>
  </w:style>
  <w:style w:type="paragraph" w:styleId="52">
    <w:name w:val="index 7"/>
    <w:basedOn w:val="1"/>
    <w:next w:val="1"/>
    <w:qFormat/>
    <w:uiPriority w:val="0"/>
    <w:pPr>
      <w:ind w:left="1200" w:leftChars="1200"/>
    </w:pPr>
  </w:style>
  <w:style w:type="paragraph" w:styleId="53">
    <w:name w:val="index 3"/>
    <w:basedOn w:val="1"/>
    <w:next w:val="1"/>
    <w:qFormat/>
    <w:uiPriority w:val="0"/>
    <w:pPr>
      <w:ind w:left="400" w:leftChars="400"/>
    </w:pPr>
  </w:style>
  <w:style w:type="paragraph" w:styleId="54">
    <w:name w:val="index 5"/>
    <w:basedOn w:val="1"/>
    <w:next w:val="1"/>
    <w:qFormat/>
    <w:uiPriority w:val="0"/>
    <w:pPr>
      <w:ind w:left="800" w:leftChars="8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7">
    <w:name w:val="toc 9"/>
    <w:basedOn w:val="1"/>
    <w:next w:val="1"/>
    <w:qFormat/>
    <w:uiPriority w:val="0"/>
    <w:pPr>
      <w:ind w:left="3360" w:leftChars="1600"/>
    </w:pPr>
  </w:style>
  <w:style w:type="paragraph" w:styleId="58">
    <w:name w:val="toc 7"/>
    <w:basedOn w:val="1"/>
    <w:next w:val="1"/>
    <w:qFormat/>
    <w:uiPriority w:val="0"/>
    <w:pPr>
      <w:ind w:left="2520" w:leftChars="1200"/>
    </w:pPr>
  </w:style>
  <w:style w:type="paragraph" w:styleId="59">
    <w:name w:val="index 6"/>
    <w:basedOn w:val="1"/>
    <w:next w:val="1"/>
    <w:qFormat/>
    <w:uiPriority w:val="0"/>
    <w:pPr>
      <w:ind w:left="1000" w:leftChars="1000"/>
    </w:pPr>
  </w:style>
  <w:style w:type="paragraph" w:styleId="60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1">
    <w:name w:val="index 8"/>
    <w:basedOn w:val="1"/>
    <w:next w:val="1"/>
    <w:qFormat/>
    <w:uiPriority w:val="0"/>
    <w:pPr>
      <w:ind w:left="1400" w:leftChars="140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4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3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:lang w:eastAsia="en-US"/>
      <w14:textFill>
        <w14:solidFill>
          <w14:schemeClr w14:val="tx1"/>
        </w14:solidFill>
      </w14:textFill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basedOn w:val="1"/>
    <w:qFormat/>
    <w:uiPriority w:val="0"/>
    <w:rPr>
      <w:sz w:val="24"/>
      <w:szCs w:val="24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3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3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3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3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3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3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3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3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3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3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3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3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3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3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3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3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3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3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3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3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3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3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3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3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3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3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3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3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3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3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51">
    <w:name w:val="Заголовок 2 Знак"/>
    <w:basedOn w:val="12"/>
    <w:link w:val="4"/>
    <w:qFormat/>
    <w:uiPriority w:val="9"/>
    <w:rPr>
      <w:rFonts w:asciiTheme="majorAscii" w:hAnsiTheme="majorAscii" w:eastAsiaTheme="majorEastAsia" w:cstheme="majorBidi"/>
      <w:b/>
      <w:color w:val="5B9BD5" w:themeColor="accent1"/>
      <w:sz w:val="28"/>
      <w:szCs w:val="28"/>
      <w:lang w:val="ru-RU" w:eastAsia="en-US"/>
      <w14:textFill>
        <w14:solidFill>
          <w14:schemeClr w14:val="accent1"/>
        </w14:solidFill>
      </w14:textFill>
    </w:rPr>
  </w:style>
  <w:style w:type="character" w:customStyle="1" w:styleId="152">
    <w:name w:val="Body Text Char"/>
    <w:basedOn w:val="12"/>
    <w:link w:val="3"/>
    <w:qFormat/>
    <w:uiPriority w:val="0"/>
    <w:rPr>
      <w:rFonts w:asciiTheme="minorAscii" w:hAnsiTheme="minorAscii" w:eastAsiaTheme="minorEastAsia"/>
      <w:szCs w:val="24"/>
      <w:lang w:eastAsia="en-US"/>
    </w:rPr>
  </w:style>
  <w:style w:type="paragraph" w:customStyle="1" w:styleId="153">
    <w:name w:val="Image Caption"/>
    <w:basedOn w:val="42"/>
    <w:qFormat/>
    <w:uiPriority w:val="0"/>
    <w:pPr>
      <w:jc w:val="both"/>
    </w:pPr>
    <w:rPr>
      <w:rFonts w:asciiTheme="minorAscii" w:hAnsiTheme="minorAscii" w:eastAsiaTheme="minorEastAsia" w:cstheme="minorBidi"/>
      <w:i/>
      <w:sz w:val="20"/>
      <w:szCs w:val="24"/>
      <w:lang w:eastAsia="en-US"/>
    </w:rPr>
  </w:style>
  <w:style w:type="paragraph" w:customStyle="1" w:styleId="154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 w:cstheme="minorBidi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2024-09-20T09:37:00Z</dcterms:created>
  <dc:creator>google1599737165</dc:creator>
  <cp:lastModifiedBy>polyd</cp:lastModifiedBy>
  <dcterms:modified xsi:type="dcterms:W3CDTF">2024-09-21T09:27:30Z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53042687A8AF4F4A949382B1F7ECB9D8_11</vt:lpwstr>
  </property>
</Properties>
</file>