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602EE5">
      <w:pPr>
        <w:pStyle w:val="23"/>
      </w:pPr>
      <w:r>
        <w:t>Blue mussels Mytilus edulis L. and M. trossulus Gould in sympatry: assessment of ecological niche divergence using species distribution modeling</w:t>
      </w:r>
    </w:p>
    <w:p w14:paraId="5358CCD0">
      <w:r>
        <w:rPr>
          <w:b/>
          <w:bCs/>
        </w:rPr>
        <w:t>V. M. Khaitov, A. A. Zaychikova, P. Y. Safonov, M. V. Katolikova, M. V. Ivanov, P. P. Strelkov</w:t>
      </w:r>
    </w:p>
    <w:p w14:paraId="73FE8052">
      <w:pPr>
        <w:pStyle w:val="3"/>
      </w:pPr>
      <w:bookmarkStart w:id="0" w:name="abstract"/>
      <w:r>
        <w:t>Abstract</w:t>
      </w:r>
    </w:p>
    <w:p w14:paraId="121C0041">
      <w: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Pr>
          <w:i/>
          <w:iCs/>
        </w:rPr>
        <w:t>Mytilus edulis</w:t>
      </w:r>
      <w:r>
        <w:t xml:space="preserve"> (</w:t>
      </w:r>
      <w:r>
        <w:rPr>
          <w:i/>
          <w:iCs/>
        </w:rPr>
        <w:t>ME</w:t>
      </w:r>
      <w:r>
        <w:t xml:space="preserve">) and </w:t>
      </w:r>
      <w:r>
        <w:rPr>
          <w:i/>
          <w:iCs/>
        </w:rPr>
        <w:t>M. trossulus</w:t>
      </w:r>
      <w:r>
        <w:t xml:space="preserve"> (</w:t>
      </w:r>
      <w:r>
        <w:rPr>
          <w:i/>
          <w:iCs/>
        </w:rPr>
        <w:t>MT</w:t>
      </w:r>
      <w:r>
        <w:t xml:space="preserve">). </w:t>
      </w:r>
      <w:bookmarkStart w:id="8" w:name="_GoBack"/>
      <w:bookmarkEnd w:id="8"/>
      <w:r>
        <w:t xml:space="preserve">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Pr>
          <w:i/>
          <w:iCs/>
        </w:rPr>
        <w:t>ME</w:t>
      </w:r>
      <w:r>
        <w:t xml:space="preserve"> and </w:t>
      </w:r>
      <w:r>
        <w:rPr>
          <w:i/>
          <w:iCs/>
        </w:rPr>
        <w:t>MT</w:t>
      </w:r>
      <w:r>
        <w:t xml:space="preserve"> in the White Sea littoral applying SDMs to 570 mussel samples with known taxonomic structure. We found that each of the predictors influenced spatial segregation. The most expected habitat of ME was a bottom substrate in a wind-exposed location with a “normal” salinity (24 ppt) away from ports and large rivers, while for </w:t>
      </w:r>
      <w:r>
        <w:rPr>
          <w:i/>
          <w:iCs/>
        </w:rPr>
        <w:t>MT</w:t>
      </w:r>
      <w:r>
        <w:t xml:space="preserve"> it was an algal substrate in a wind-protected area with a lower salinity close to ports and large rivers. We also attempted to answer the question whether the species segregation by substrate was density-dependent and found that the degree of segregation positively depended on </w:t>
      </w:r>
      <w:r>
        <w:rPr>
          <w:i/>
          <w:iCs/>
        </w:rPr>
        <w:t>ME</w:t>
      </w:r>
      <w:r>
        <w:t xml:space="preserve"> abundance, which is an indication that </w:t>
      </w:r>
      <w:r>
        <w:rPr>
          <w:i/>
          <w:iCs/>
        </w:rPr>
        <w:t>ME</w:t>
      </w:r>
      <w:r>
        <w:t xml:space="preserve"> outcompetes MT on bottom substrates.We discuss whether the predictors used in our study can drive the segregation of these species outside the White Sea.</w:t>
      </w:r>
    </w:p>
    <w:bookmarkEnd w:id="0"/>
    <w:p w14:paraId="425F316D">
      <w:pPr>
        <w:pStyle w:val="3"/>
      </w:pPr>
      <w:bookmarkStart w:id="1" w:name="introduction"/>
      <w:r>
        <w:t>Introduction</w:t>
      </w:r>
    </w:p>
    <w:p w14:paraId="03F7CBBF">
      <w:r>
        <w:t>Species distribution models (SDMs) are a numerical tool describing the relationship between species occurrence and environmental parameters. Using SDMs, it is possible to predict distribution patterns of species in space and time and to assess their ecological niche in a formal way (Elith &amp; Leathwick 2009). Joint application of SDMs to several coexisting species, i.e. a community, allows one to describe the partitioning of ecological niches between them. This is referred to as Joint Species Distribution Modeling (JSDM) (Ovaskainen &amp; Abrego 2020). In other words, SDM/JSDMs may describe the axes in ecological space along which coexisting species are segregated. SDMs can be built using various approaches, from regular multiple regressions to advanced machine learning (Elith et al. 2006).</w:t>
      </w:r>
    </w:p>
    <w:bookmarkEnd w:id="1"/>
    <w:p w14:paraId="62ED14A8">
      <w:pPr>
        <w:pStyle w:val="2"/>
        <w:bidi w:val="0"/>
      </w:pPr>
      <w:bookmarkStart w:id="2" w:name="material-and-methods"/>
      <w:r>
        <w:t>Material and methods</w:t>
      </w:r>
    </w:p>
    <w:p w14:paraId="634FE472">
      <w:pPr>
        <w:pStyle w:val="4"/>
        <w:bidi w:val="0"/>
      </w:pPr>
      <w:bookmarkStart w:id="3" w:name="study-area"/>
      <w:r>
        <w:t>Study area</w:t>
      </w:r>
    </w:p>
    <w:p w14:paraId="08700ECB">
      <w:r>
        <w:t xml:space="preserve">The study area was the Kandalaksha Bay, where all previous ME and </w:t>
      </w:r>
      <w:r>
        <w:rPr>
          <w:i/>
          <w:iCs/>
        </w:rPr>
        <w:t>MT</w:t>
      </w:r>
      <w:r>
        <w:t xml:space="preserve"> studies in the White Sea have been conducted (Katolikova et al. 2016, Khaitov et al. 2018, Khaitov et al. 2023).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(“normal” salinity for most of the White Sea) and lower in the estuarine areas (Berger &amp; Naumov 2000). Two canals of a hydropower plant and 24 rivers with a catchment area of 141 – 12,830 km</w:t>
      </w:r>
      <w:r>
        <w:rPr>
          <w:vertAlign w:val="superscript"/>
        </w:rPr>
        <w:t>2</w:t>
      </w:r>
      <w:r>
        <w:t xml:space="preserve"> (Median 240 km</w:t>
      </w:r>
      <w:r>
        <w:rPr>
          <w:vertAlign w:val="superscript"/>
        </w:rPr>
        <w:t>2</w:t>
      </w:r>
      <w:r>
        <w:t>; see Stable ++ ) flow into the Bay, with the largest river, the Niva, entering the Bay at its very top. Due to the complex geometry of the shoreline and numerous rivers, local surf and salinity gradients are pronounced (Filatov et al. 2007).</w:t>
      </w:r>
    </w:p>
    <w:p w14:paraId="2B1A8CE2">
      <w:pPr>
        <w:pStyle w:val="21"/>
      </w:pPr>
      <w:r>
        <w:t>Six ports operating oceanic vessels were functioning in the area in the 20th century (</w:t>
      </w:r>
      <w:r>
        <w:rPr>
          <w:b/>
          <w:bCs/>
        </w:rPr>
        <w:t>Fig. 1</w:t>
      </w:r>
      <w:r>
        <w:t>). Two of them, both at Bay’s top, are still in operation. The other four have been abandoned (Sailing directions of the White Sea 1932, Krasavcev 2011) but are occasionally visited by small ships (our observations).</w:t>
      </w:r>
    </w:p>
    <w:p w14:paraId="5B6B07F1">
      <w:pPr>
        <w:pStyle w:val="21"/>
      </w:pPr>
      <w:r>
        <w:t xml:space="preserve">Mussels are present everywhere in theow waters of the Bay. They are particularly abundant in the littoral fucoid belt (mainly </w:t>
      </w:r>
      <w:r>
        <w:rPr>
          <w:i/>
          <w:iCs/>
        </w:rPr>
        <w:t>Fucus vesiculosus</w:t>
      </w:r>
      <w:r>
        <w:t xml:space="preserve"> L. and </w:t>
      </w:r>
      <w:r>
        <w:rPr>
          <w:i/>
          <w:iCs/>
        </w:rPr>
        <w:t>Ascophyllum nodosum</w:t>
      </w:r>
      <w:r>
        <w:t xml:space="preserve"> L.), which is continuous 0.5-1.0 m above mean spring tide depth (Berger et al. 2001). According to the data from 2002–2013, both mussel species were almost ubiquitous in the Bay, but their ratio in settlements varied greatly, with </w:t>
      </w:r>
      <w:r>
        <w:rPr>
          <w:i/>
          <w:iCs/>
        </w:rPr>
        <w:t>ME</w:t>
      </w:r>
      <w:r>
        <w:t xml:space="preserve"> being generally dominant (Katolikova et al. 2016).</w:t>
      </w:r>
    </w:p>
    <w:p w14:paraId="1EAB016F">
      <w:pPr>
        <w:pStyle w:val="4"/>
        <w:bidi w:val="0"/>
      </w:pPr>
      <w:bookmarkStart w:id="4" w:name="modeling-data-set"/>
      <w:r>
        <w:t>Modeling data set</w:t>
      </w:r>
    </w:p>
    <w:bookmarkEnd w:id="2"/>
    <w:bookmarkEnd w:id="3"/>
    <w:bookmarkEnd w:id="4"/>
    <w:p w14:paraId="1AC1FDFC">
      <w:bookmarkStart w:id="5" w:name="ref-zolotarev1997relations"/>
      <w:bookmarkStart w:id="6" w:name="literature-cited"/>
      <w:bookmarkStart w:id="7" w:name="refs"/>
    </w:p>
    <w:bookmarkEnd w:id="5"/>
    <w:bookmarkEnd w:id="6"/>
    <w:bookmarkEnd w:id="7"/>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C3BFB"/>
    <w:rsid w:val="7BF76CA2"/>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36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30"/>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ind w:firstLine="0"/>
      <w:jc w:val="center"/>
      <w:outlineLvl w:val="1"/>
    </w:pPr>
    <w:rPr>
      <w:rFonts w:cs="Cambria"/>
      <w:b/>
      <w:bCs/>
      <w:i/>
      <w:iCs/>
      <w:szCs w:val="28"/>
    </w:rPr>
  </w:style>
  <w:style w:type="paragraph" w:styleId="4">
    <w:name w:val="heading 3"/>
    <w:basedOn w:val="1"/>
    <w:next w:val="1"/>
    <w:unhideWhenUsed/>
    <w:qFormat/>
    <w:uiPriority w:val="9"/>
    <w:pPr>
      <w:keepNext/>
      <w:widowControl/>
      <w:spacing w:before="240" w:after="60"/>
      <w:ind w:firstLine="0"/>
      <w:jc w:val="center"/>
      <w:outlineLvl w:val="2"/>
    </w:pPr>
    <w:rPr>
      <w:rFonts w:cs="Arial"/>
      <w:bCs/>
      <w:i/>
      <w:szCs w:val="26"/>
    </w:rPr>
  </w:style>
  <w:style w:type="paragraph" w:styleId="5">
    <w:name w:val="heading 4"/>
    <w:basedOn w:val="1"/>
    <w:next w:val="1"/>
    <w:qFormat/>
    <w:uiPriority w:val="0"/>
    <w:pPr>
      <w:keepNext/>
      <w:spacing w:before="240" w:after="60"/>
      <w:ind w:firstLine="0"/>
      <w:jc w:val="center"/>
      <w:outlineLvl w:val="3"/>
    </w:pPr>
    <w:rPr>
      <w:b/>
      <w:bCs/>
      <w:i/>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uiPriority w:val="99"/>
  </w:style>
  <w:style w:type="character" w:styleId="14">
    <w:name w:val="Strong"/>
    <w:basedOn w:val="6"/>
    <w:qFormat/>
    <w:uiPriority w:val="0"/>
    <w:rPr>
      <w:b/>
      <w:bCs/>
    </w:rPr>
  </w:style>
  <w:style w:type="paragraph" w:styleId="15">
    <w:name w:val="Balloon Text"/>
    <w:basedOn w:val="1"/>
    <w:link w:val="39"/>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4"/>
    <w:semiHidden/>
    <w:qFormat/>
    <w:uiPriority w:val="0"/>
    <w:pPr>
      <w:ind w:firstLine="0"/>
    </w:pPr>
    <w:rPr>
      <w:sz w:val="20"/>
    </w:rPr>
  </w:style>
  <w:style w:type="paragraph" w:styleId="20">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4"/>
    <w:uiPriority w:val="0"/>
  </w:style>
  <w:style w:type="paragraph" w:styleId="22">
    <w:name w:val="Body Text Indent"/>
    <w:basedOn w:val="1"/>
    <w:link w:val="33"/>
    <w:qFormat/>
    <w:uiPriority w:val="0"/>
    <w:pPr>
      <w:ind w:left="283" w:firstLine="0"/>
    </w:pPr>
  </w:style>
  <w:style w:type="paragraph" w:styleId="23">
    <w:name w:val="Title"/>
    <w:basedOn w:val="2"/>
    <w:link w:val="46"/>
    <w:qFormat/>
    <w:uiPriority w:val="0"/>
    <w:pPr>
      <w:spacing w:line="360" w:lineRule="auto"/>
    </w:pPr>
    <w:rPr>
      <w:rFonts w:ascii="Times New Roman" w:hAnsi="Times New Roman" w:eastAsia="Times New Roman"/>
    </w:rPr>
  </w:style>
  <w:style w:type="paragraph" w:styleId="24">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2 Знак"/>
    <w:basedOn w:val="6"/>
    <w:link w:val="3"/>
    <w:qFormat/>
    <w:locked/>
    <w:uiPriority w:val="0"/>
    <w:rPr>
      <w:rFonts w:ascii="Times New Roman" w:hAnsi="Times New Roman" w:eastAsia="Times New Roman" w:cs="Cambria"/>
      <w:b/>
      <w:bCs/>
      <w:i/>
      <w:iCs/>
      <w:sz w:val="32"/>
      <w:szCs w:val="28"/>
    </w:rPr>
  </w:style>
  <w:style w:type="character" w:customStyle="1" w:styleId="30">
    <w:name w:val="Заголовок 1 Знак"/>
    <w:basedOn w:val="6"/>
    <w:link w:val="2"/>
    <w:qFormat/>
    <w:uiPriority w:val="0"/>
    <w:rPr>
      <w:rFonts w:ascii="Arial" w:hAnsi="Arial" w:eastAsia="Times New Roman" w:cs="Arial"/>
      <w:b/>
      <w:sz w:val="32"/>
      <w:szCs w:val="32"/>
    </w:rPr>
  </w:style>
  <w:style w:type="paragraph" w:customStyle="1" w:styleId="31">
    <w:name w:val="Дерюгин 2"/>
    <w:basedOn w:val="1"/>
    <w:qFormat/>
    <w:uiPriority w:val="0"/>
    <w:rPr>
      <w:b/>
    </w:rPr>
  </w:style>
  <w:style w:type="character" w:customStyle="1" w:styleId="32">
    <w:name w:val="Основной текст с отступом 2 Знак"/>
    <w:basedOn w:val="6"/>
    <w:link w:val="27"/>
    <w:semiHidden/>
    <w:qFormat/>
    <w:uiPriority w:val="0"/>
    <w:rPr>
      <w:sz w:val="24"/>
      <w:lang w:val="ru-RU" w:eastAsia="ru-RU" w:bidi="ar-SA"/>
    </w:rPr>
  </w:style>
  <w:style w:type="character" w:customStyle="1" w:styleId="33">
    <w:name w:val="Основной текст с отступом Знак"/>
    <w:basedOn w:val="6"/>
    <w:link w:val="22"/>
    <w:semiHidden/>
    <w:qFormat/>
    <w:uiPriority w:val="0"/>
    <w:rPr>
      <w:sz w:val="24"/>
      <w:szCs w:val="24"/>
      <w:lang w:val="ru-RU" w:eastAsia="ru-RU" w:bidi="ar-SA"/>
    </w:rPr>
  </w:style>
  <w:style w:type="character" w:customStyle="1" w:styleId="34">
    <w:name w:val="Основной текст Знак"/>
    <w:basedOn w:val="6"/>
    <w:link w:val="21"/>
    <w:qFormat/>
    <w:uiPriority w:val="0"/>
    <w:rPr>
      <w:rFonts w:eastAsia="Times New Roman"/>
      <w:sz w:val="24"/>
      <w:szCs w:val="24"/>
    </w:rPr>
  </w:style>
  <w:style w:type="character" w:customStyle="1" w:styleId="35">
    <w:name w:val="Heading 2 Char"/>
    <w:basedOn w:val="6"/>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7">
    <w:name w:val="Footer Char"/>
    <w:basedOn w:val="6"/>
    <w:semiHidden/>
    <w:qFormat/>
    <w:uiPriority w:val="0"/>
    <w:rPr>
      <w:rFonts w:ascii="Courier New" w:hAnsi="Courier New" w:cs="Courier New"/>
      <w:sz w:val="24"/>
      <w:szCs w:val="24"/>
    </w:rPr>
  </w:style>
  <w:style w:type="character" w:customStyle="1" w:styleId="38">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6"/>
    <w:link w:val="15"/>
    <w:semiHidden/>
    <w:qFormat/>
    <w:uiPriority w:val="0"/>
    <w:rPr>
      <w:sz w:val="0"/>
      <w:szCs w:val="0"/>
      <w:lang w:val="ru-RU" w:eastAsia="ru-RU" w:bidi="ar-SA"/>
    </w:rPr>
  </w:style>
  <w:style w:type="character" w:customStyle="1" w:styleId="40">
    <w:name w:val="Знак4"/>
    <w:basedOn w:val="6"/>
    <w:qFormat/>
    <w:locked/>
    <w:uiPriority w:val="0"/>
    <w:rPr>
      <w:sz w:val="28"/>
      <w:szCs w:val="28"/>
    </w:rPr>
  </w:style>
  <w:style w:type="character" w:customStyle="1" w:styleId="41">
    <w:name w:val="Знак3"/>
    <w:basedOn w:val="6"/>
    <w:qFormat/>
    <w:locked/>
    <w:uiPriority w:val="0"/>
    <w:rPr>
      <w:rFonts w:ascii="Courier New" w:hAnsi="Courier New" w:cs="Courier New"/>
      <w:sz w:val="24"/>
      <w:szCs w:val="24"/>
    </w:rPr>
  </w:style>
  <w:style w:type="character" w:customStyle="1" w:styleId="42">
    <w:name w:val="Знак2"/>
    <w:basedOn w:val="6"/>
    <w:semiHidden/>
    <w:qFormat/>
    <w:locked/>
    <w:uiPriority w:val="0"/>
    <w:rPr>
      <w:rFonts w:ascii="Courier New" w:hAnsi="Courier New" w:cs="Courier New"/>
      <w:sz w:val="24"/>
      <w:szCs w:val="24"/>
    </w:rPr>
  </w:style>
  <w:style w:type="character" w:customStyle="1" w:styleId="43">
    <w:name w:val="Знак9"/>
    <w:basedOn w:val="6"/>
    <w:qFormat/>
    <w:locked/>
    <w:uiPriority w:val="0"/>
    <w:rPr>
      <w:b/>
      <w:bCs/>
    </w:rPr>
  </w:style>
  <w:style w:type="character" w:customStyle="1" w:styleId="44">
    <w:name w:val="Текст сноски Знак"/>
    <w:basedOn w:val="6"/>
    <w:link w:val="19"/>
    <w:semiHidden/>
    <w:qFormat/>
    <w:locked/>
    <w:uiPriority w:val="0"/>
    <w:rPr>
      <w:lang w:val="ru-RU" w:eastAsia="ru-RU" w:bidi="ar-SA"/>
    </w:rPr>
  </w:style>
  <w:style w:type="character" w:customStyle="1" w:styleId="45">
    <w:name w:val="Footnote Text Char"/>
    <w:basedOn w:val="6"/>
    <w:semiHidden/>
    <w:uiPriority w:val="0"/>
    <w:rPr>
      <w:rFonts w:ascii="Courier New" w:hAnsi="Courier New" w:cs="Courier New"/>
      <w:sz w:val="20"/>
      <w:szCs w:val="20"/>
    </w:rPr>
  </w:style>
  <w:style w:type="character" w:customStyle="1" w:styleId="46">
    <w:name w:val="Название Знак"/>
    <w:basedOn w:val="6"/>
    <w:link w:val="23"/>
    <w:qFormat/>
    <w:locked/>
    <w:uiPriority w:val="0"/>
    <w:rPr>
      <w:rFonts w:ascii="Times New Roman" w:hAnsi="Times New Roman" w:eastAsia="Times New Roman"/>
      <w:sz w:val="36"/>
    </w:rPr>
  </w:style>
  <w:style w:type="character" w:customStyle="1" w:styleId="47">
    <w:name w:val="Title Char"/>
    <w:basedOn w:val="6"/>
    <w:uiPriority w:val="0"/>
    <w:rPr>
      <w:rFonts w:ascii="Cambria" w:hAnsi="Cambria" w:eastAsia="Times New Roman" w:cs="Times New Roman"/>
      <w:b/>
      <w:bCs/>
      <w:kern w:val="28"/>
      <w:sz w:val="32"/>
      <w:szCs w:val="32"/>
    </w:rPr>
  </w:style>
  <w:style w:type="character" w:customStyle="1" w:styleId="48">
    <w:name w:val="spelle"/>
    <w:basedOn w:val="6"/>
    <w:qFormat/>
    <w:uiPriority w:val="0"/>
  </w:style>
  <w:style w:type="character" w:customStyle="1" w:styleId="49">
    <w:name w:val="grame"/>
    <w:basedOn w:val="6"/>
    <w:qFormat/>
    <w:uiPriority w:val="0"/>
  </w:style>
  <w:style w:type="character" w:customStyle="1" w:styleId="50">
    <w:name w:val="ref-journal"/>
    <w:basedOn w:val="6"/>
    <w:qFormat/>
    <w:uiPriority w:val="0"/>
  </w:style>
  <w:style w:type="character" w:customStyle="1" w:styleId="51">
    <w:name w:val="ref-vol"/>
    <w:basedOn w:val="6"/>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5"/>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7"/>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6"/>
    <w:qFormat/>
    <w:uiPriority w:val="0"/>
    <w:rPr>
      <w:rFonts w:ascii="Arial" w:hAnsi="Arial"/>
      <w:sz w:val="32"/>
    </w:rPr>
  </w:style>
  <w:style w:type="table" w:styleId="61">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550</Words>
  <Characters>3137</Characters>
  <Lines>26</Lines>
  <Paragraphs>7</Paragraphs>
  <TotalTime>25</TotalTime>
  <ScaleCrop>false</ScaleCrop>
  <LinksUpToDate>false</LinksUpToDate>
  <CharactersWithSpaces>3680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2024-08-13T17:38:00Z</dcterms:created>
  <dc:creator>V. M. Khaitov, A. A. Zaychikova, P. Y. Safonov, M. V. Katolikova, M. V. Ivanov, P. P. Strelkov</dc:creator>
  <cp:lastModifiedBy>polyd</cp:lastModifiedBy>
  <dcterms:modified xsi:type="dcterms:W3CDTF">2024-10-04T15:41:10Z</dcterms:modified>
  <dc:title>Blue mussels Mytilus edulis L. and M. trossulus Gould in sympatry: assessment of ecological niche divergence using species distribution modeling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meps.csl</vt:lpwstr>
  </property>
  <property fmtid="{D5CDD505-2E9C-101B-9397-08002B2CF9AE}" pid="4" name="output">
    <vt:lpwstr/>
  </property>
  <property fmtid="{D5CDD505-2E9C-101B-9397-08002B2CF9AE}" pid="5" name="KSOProductBuildVer">
    <vt:lpwstr>1049-12.2.0.18283</vt:lpwstr>
  </property>
  <property fmtid="{D5CDD505-2E9C-101B-9397-08002B2CF9AE}" pid="6" name="ICV">
    <vt:lpwstr>A3CF7B9D61174740A98B6CA26993178B_13</vt:lpwstr>
  </property>
</Properties>
</file>