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</w:pPr>
      <w:r>
        <w:t xml:space="preserve">Характеристика популяции </w:t>
      </w:r>
      <w:r>
        <w:rPr>
          <w:i/>
          <w:iCs/>
        </w:rPr>
        <w:t>Semibalanus balanoides</w:t>
      </w:r>
      <w:r>
        <w:t xml:space="preserve"> на литорали острова Ряжкова летом 2022 г.</w:t>
      </w:r>
    </w:p>
    <w:p>
      <w:pPr>
        <w:pStyle w:val="22"/>
      </w:pPr>
      <w:r>
        <w:t>В. М. Хайтов</w:t>
      </w:r>
    </w:p>
    <w:p>
      <w:pPr>
        <w:pStyle w:val="23"/>
      </w:pPr>
      <w:r>
        <w:rPr>
          <w:b/>
          <w:bCs/>
        </w:rPr>
        <w:t xml:space="preserve">Хайтов В. М. Характеристика популяции </w:t>
      </w:r>
      <w:r>
        <w:rPr>
          <w:b/>
          <w:bCs/>
          <w:i/>
          <w:iCs/>
        </w:rPr>
        <w:t>Semibalanus balanoides</w:t>
      </w:r>
      <w:r>
        <w:rPr>
          <w:b/>
          <w:bCs/>
        </w:rPr>
        <w:t xml:space="preserve"> на литорали острова Ряжкова летом 2022г. </w:t>
      </w:r>
      <w:r>
        <w:t xml:space="preserve"> // Марченков А. В. (ред.) Летопись природы Кадалакшского заповедника за 2022 год (ежегодный отчет). Кандалакша. Т.1 (Летопись природы Кандалакшского заповедника, кн. ++) Рассматриваются данные по учету обилия сеголеток и взрослых балянусов на литоральных валунах летом 2022.</w:t>
      </w:r>
    </w:p>
    <w:p>
      <w:pPr>
        <w:pStyle w:val="23"/>
      </w:pPr>
      <w:r>
        <w:rPr>
          <w:b/>
          <w:bCs/>
        </w:rPr>
        <w:t>Khaitov V.M. Population characteristics of * Semibalanus balanoides* on the intertidal zone of Ryazhkov Island in the summer of 2022</w:t>
      </w:r>
      <w:r>
        <w:t xml:space="preserve"> // Marchenkov A. V. (ed.) The Chronicle of Nature by the Kandalaksha Reserve for 2022 (Annual report). Kandalaksha. V.1. (The Chronicle of Nature by the Kandalaksha Reserve, Book N ++) The data on abundance of yearlings and adult barnacls on boulders in summer months of 2022 are reviewed.</w:t>
      </w:r>
    </w:p>
    <w:p>
      <w:pPr>
        <w:pStyle w:val="20"/>
      </w:pPr>
      <w:r>
        <w:t>На литорали острова Ряжкова было выделено 4 сайта (Южная губа, Восточный берег, Северная губа и Западный берег), в каждом из них ежегодно выбирается по несколько валунов. Координаты точек расположения валунов засекаются с помощью спутникового навигатора. Если несколько валунов расположены в непосредственной близости друг от друга, то засекаются координаты только одного из них. Расположение точек сбора материала, обследованных в 2022 году приведено на Рисунок 1. Координаты обследованных в 2022 г камней приведены в таблице +.1.</w:t>
      </w:r>
    </w:p>
    <w:p>
      <w:pPr>
        <w:pStyle w:val="27"/>
        <w:keepNext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60" w:after="60" w:line="240" w:lineRule="auto"/>
        <w:ind w:left="60" w:right="60" w:firstLine="0"/>
        <w:jc w:val="center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Таблица +.1. Координаты камней, на которых проводился учет балянусов в 2022 г. Coordinates of stones where barnacles were counted in 2022.</w:t>
      </w:r>
    </w:p>
    <w:tbl>
      <w:tblPr>
        <w:tblStyle w:val="10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080"/>
        <w:gridCol w:w="1080"/>
        <w:gridCol w:w="1080"/>
      </w:tblGrid>
      <w:tr>
        <w:trPr>
          <w:trHeight w:val="0" w:hRule="atLeast"/>
          <w:tblHeader/>
          <w:jc w:val="center"/>
        </w:trPr>
        <w:tc>
          <w:tcPr>
            <w:tcW w:w="1644" w:type="dxa"/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color w:val="000000"/>
                <w:sz w:val="20"/>
                <w:szCs w:val="20"/>
                <w:u w:val="none"/>
              </w:rPr>
              <w:t>Участок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color w:val="000000"/>
                <w:sz w:val="20"/>
                <w:szCs w:val="20"/>
                <w:u w:val="none"/>
              </w:rPr>
              <w:t>Камень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color w:val="000000"/>
                <w:sz w:val="20"/>
                <w:szCs w:val="20"/>
                <w:u w:val="none"/>
              </w:rPr>
              <w:t>Широта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color w:val="000000"/>
                <w:sz w:val="20"/>
                <w:szCs w:val="20"/>
                <w:u w:val="none"/>
              </w:rPr>
              <w:t>Долгота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44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color w:val="000000"/>
                <w:sz w:val="20"/>
                <w:szCs w:val="20"/>
                <w:u w:val="none"/>
              </w:rPr>
              <w:t>Восточный берег</w:t>
            </w:r>
          </w:p>
        </w:tc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color w:val="000000"/>
                <w:sz w:val="20"/>
                <w:szCs w:val="20"/>
                <w:u w:val="none"/>
              </w:rPr>
              <w:t>67.02067</w:t>
            </w:r>
          </w:p>
        </w:tc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color w:val="000000"/>
                <w:sz w:val="20"/>
                <w:szCs w:val="20"/>
                <w:u w:val="none"/>
              </w:rPr>
              <w:t>32.56985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color w:val="000000"/>
                <w:sz w:val="20"/>
                <w:szCs w:val="20"/>
                <w:u w:val="none"/>
              </w:rPr>
              <w:t>Восточный берег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color w:val="000000"/>
                <w:sz w:val="20"/>
                <w:szCs w:val="20"/>
                <w:u w:val="none"/>
              </w:rPr>
              <w:t>67.02067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color w:val="000000"/>
                <w:sz w:val="20"/>
                <w:szCs w:val="20"/>
                <w:u w:val="none"/>
              </w:rPr>
              <w:t>32.56985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color w:val="000000"/>
                <w:sz w:val="20"/>
                <w:szCs w:val="20"/>
                <w:u w:val="none"/>
              </w:rPr>
              <w:t>Восточный берег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color w:val="000000"/>
                <w:sz w:val="20"/>
                <w:szCs w:val="20"/>
                <w:u w:val="none"/>
              </w:rPr>
              <w:t>67.02067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color w:val="000000"/>
                <w:sz w:val="20"/>
                <w:szCs w:val="20"/>
                <w:u w:val="none"/>
              </w:rPr>
              <w:t>32.56985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color w:val="000000"/>
                <w:sz w:val="20"/>
                <w:szCs w:val="20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color w:val="000000"/>
                <w:sz w:val="20"/>
                <w:szCs w:val="20"/>
                <w:u w:val="none"/>
              </w:rPr>
              <w:t>67.02507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color w:val="000000"/>
                <w:sz w:val="20"/>
                <w:szCs w:val="20"/>
                <w:u w:val="none"/>
              </w:rPr>
              <w:t>32.53840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color w:val="000000"/>
                <w:sz w:val="20"/>
                <w:szCs w:val="20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color w:val="000000"/>
                <w:sz w:val="20"/>
                <w:szCs w:val="20"/>
                <w:u w:val="none"/>
              </w:rPr>
              <w:t>67.02507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color w:val="000000"/>
                <w:sz w:val="20"/>
                <w:szCs w:val="20"/>
                <w:u w:val="none"/>
              </w:rPr>
              <w:t>32.53840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color w:val="000000"/>
                <w:sz w:val="20"/>
                <w:szCs w:val="20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color w:val="000000"/>
                <w:sz w:val="20"/>
                <w:szCs w:val="20"/>
                <w:u w:val="none"/>
              </w:rPr>
              <w:t>67.02507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color w:val="000000"/>
                <w:sz w:val="20"/>
                <w:szCs w:val="20"/>
                <w:u w:val="none"/>
              </w:rPr>
              <w:t>32.53840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color w:val="000000"/>
                <w:sz w:val="20"/>
                <w:szCs w:val="20"/>
                <w:u w:val="none"/>
              </w:rPr>
              <w:t>Западный берег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color w:val="000000"/>
                <w:sz w:val="20"/>
                <w:szCs w:val="20"/>
                <w:u w:val="none"/>
              </w:rPr>
              <w:t>67.01247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color w:val="000000"/>
                <w:sz w:val="20"/>
                <w:szCs w:val="20"/>
                <w:u w:val="none"/>
              </w:rPr>
              <w:t>32.54370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color w:val="000000"/>
                <w:sz w:val="20"/>
                <w:szCs w:val="20"/>
                <w:u w:val="none"/>
              </w:rPr>
              <w:t>Западный берег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color w:val="000000"/>
                <w:sz w:val="20"/>
                <w:szCs w:val="20"/>
                <w:u w:val="none"/>
              </w:rPr>
              <w:t>67.01247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color w:val="000000"/>
                <w:sz w:val="20"/>
                <w:szCs w:val="20"/>
                <w:u w:val="none"/>
              </w:rPr>
              <w:t>32.54370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color w:val="000000"/>
                <w:sz w:val="20"/>
                <w:szCs w:val="20"/>
                <w:u w:val="none"/>
              </w:rPr>
              <w:t>Западный берег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color w:val="000000"/>
                <w:sz w:val="20"/>
                <w:szCs w:val="20"/>
                <w:u w:val="none"/>
              </w:rPr>
              <w:t>67.01247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color w:val="000000"/>
                <w:sz w:val="20"/>
                <w:szCs w:val="20"/>
                <w:u w:val="none"/>
              </w:rPr>
              <w:t>32.54370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color w:val="000000"/>
                <w:sz w:val="20"/>
                <w:szCs w:val="20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color w:val="000000"/>
                <w:sz w:val="20"/>
                <w:szCs w:val="20"/>
                <w:u w:val="none"/>
              </w:rPr>
              <w:t>67.00845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color w:val="000000"/>
                <w:sz w:val="20"/>
                <w:szCs w:val="20"/>
                <w:u w:val="none"/>
              </w:rPr>
              <w:t>32.57267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color w:val="000000"/>
                <w:sz w:val="20"/>
                <w:szCs w:val="20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color w:val="000000"/>
                <w:sz w:val="20"/>
                <w:szCs w:val="20"/>
                <w:u w:val="none"/>
              </w:rPr>
              <w:t>67.00845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color w:val="000000"/>
                <w:sz w:val="20"/>
                <w:szCs w:val="20"/>
                <w:u w:val="none"/>
              </w:rPr>
              <w:t>32.57267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44" w:type="dxa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color w:val="000000"/>
                <w:sz w:val="20"/>
                <w:szCs w:val="20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color w:val="000000"/>
                <w:sz w:val="20"/>
                <w:szCs w:val="20"/>
                <w:u w:val="none"/>
              </w:rPr>
              <w:t>67.00845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color w:val="000000"/>
                <w:sz w:val="20"/>
                <w:szCs w:val="20"/>
                <w:u w:val="none"/>
              </w:rPr>
              <w:t>32.57267</w:t>
            </w:r>
          </w:p>
        </w:tc>
      </w:tr>
    </w:tbl>
    <w:p>
      <w:r>
        <w:br w:type="page"/>
      </w:r>
    </w:p>
    <w:p>
      <w:pPr>
        <w:pStyle w:val="3"/>
      </w:pPr>
      <w:r>
        <w:t>Валуны, использованные в анализе, располагались не выше пояса фукоидов и имели в диаметре не менее 1 метра. Обилие балянусов подсчитывалось на двух сторонах валуна (обращенной к морю (“Sea”) и обращенной к суше (“Land”). На каждой стороне было заложено по три площадки 10х10 см, располагавшихся на высоте 30 см от поверхности грунта. Рамка, ограничивающая площадку, была разбита на 25 квадратов со стороной 2 см. В трех случайно выбранных квадратах было подсчитано обилие балянусов следующих классов: Живые сеголетки, Мертвые сеголетки, Живые особи возрастом 1+ и более (далее взрослые), Мертвые взрослые особи. Данные, по учетам балянусов в 2020 и2021 годах, приведены в таблице +.2.</w:t>
      </w:r>
    </w:p>
    <w:p>
      <w:r>
        <w:drawing>
          <wp:inline distT="0" distB="0" distL="114300" distR="114300">
            <wp:extent cx="5543550" cy="5543550"/>
            <wp:effectExtent l="0" t="0" r="0" b="0"/>
            <wp:docPr id="21" name="Picture" descr="Рисунок 1. Расположение камней, на которых проводился учет балянусов, на побережье о. Ряжкова (2022 г.). Position of stones where barnacles were counted on the shore of Ryazhkov island in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Рисунок 1. Расположение камней, на которых проводился учет балянусов, на побережье о. Ряжкова (2022 г.). Position of stones where barnacles were counted on the shore of Ryazhkov island in 20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rPr>
          <w:sz w:val="20"/>
          <w:szCs w:val="20"/>
        </w:rPr>
      </w:pPr>
      <w:r>
        <w:rPr>
          <w:b/>
          <w:bCs/>
          <w:sz w:val="20"/>
          <w:szCs w:val="20"/>
        </w:rPr>
        <w:t>Рисунок 1.</w:t>
      </w:r>
      <w:r>
        <w:rPr>
          <w:sz w:val="20"/>
          <w:szCs w:val="20"/>
        </w:rPr>
        <w:t xml:space="preserve"> Расположение камней, на которых проводился учет балянусов, на побережье о. Ряжкова (2022 г.). Position of stones where barnacles were counted on the shore of Ryazhkov island in 2022</w:t>
      </w:r>
    </w:p>
    <w:p>
      <w:pPr>
        <w:pStyle w:val="3"/>
        <w:rPr>
          <w:sz w:val="20"/>
          <w:szCs w:val="20"/>
        </w:rPr>
      </w:pPr>
      <w:r>
        <w:rPr>
          <w:sz w:val="20"/>
          <w:szCs w:val="20"/>
        </w:rPr>
        <w:t>Рисунок 2 демонстрирует обилие разных стадий на разных точках в 2022 г. Самое мощное пополнение в этом году, как и в прошлые годы, происходило на Западном берегу и в Южной губе. Меньше всего молоди осело на Восточном берегу. Обилие взрослых особей, как и в прошлые годы, не демонстрировало значимой вариации между отдельными сайтами. Таким образом, основное варьирование плотности поселения балянусов определяется изменчивостью интенсивности оседания сеголеток.</w:t>
      </w:r>
    </w:p>
    <w:p>
      <w:pPr>
        <w:pStyle w:val="3"/>
        <w:rPr>
          <w:sz w:val="20"/>
          <w:szCs w:val="20"/>
        </w:rPr>
      </w:pPr>
      <w:r>
        <w:rPr>
          <w:sz w:val="20"/>
          <w:szCs w:val="20"/>
        </w:rPr>
        <w:t>Анализ многолетних тенденций изменения численности молоди балянусов (Рисунок 3) показал, что плотность поселения демонстрирует циклические колебания на всех точках мониторинга. Вместе с тем, годы, на которые приходятся пики обилия, совпадают на разных участках. То есть ход динамики пополнения молодью в разных участка популяции более или менее согласован. Это можно трактовать как следствие того, что изменения регулируются некоторыми “глобальными” факторами, действующими в масштабах разброса точек наблюдения.</w:t>
      </w:r>
    </w:p>
    <w:p>
      <w:pPr>
        <w:pStyle w:val="3"/>
        <w:rPr>
          <w:sz w:val="20"/>
          <w:szCs w:val="20"/>
        </w:rPr>
      </w:pPr>
      <w:r>
        <w:rPr>
          <w:sz w:val="20"/>
          <w:szCs w:val="20"/>
        </w:rPr>
        <w:t>Данные мониторинга температуры воды и солености, который проводится в Южной губе о. Ряжкова (см. отдельную главу Летописи), позволяют оценить связи этих показателей с наблюдаемой динамикой пополнения поселений балянусов молодью. Для этого были вычислены средине значения температуры воды и солености летние месяцы (Рисунок 4). Однозначной связи между периодами всплеска обилия молоди и гидрологическими параметрами не выявляется. Однако видно, что наиболее скоординированные с динамикой обилия молоди изменения демонстрирует соленость. Можно заметить, что всплески обилия молоди приходятся на годы с более высокой соленостью (а также в годы, которым предшествовала более высокая соленость). Возможно, что наблюдаемая корреляция свидетельствует о важной роли солености, в формировании половых продуктов у взрослых балянусов и в выживании личинок.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114300" distR="114300">
            <wp:extent cx="5543550" cy="4619625"/>
            <wp:effectExtent l="0" t="0" r="0" b="0"/>
            <wp:docPr id="24" name="Picture" descr="Рисунок 2. Обилие сеголеток и взрослых балянусов (экз. на 4 кв.см.) в 2022 году. Abundanc of juveniles and adult barnacles (ind per 4 sq. cm) in 202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Рисунок 2. Обилие сеголеток и взрослых балянусов (экз. на 4 кв.см.) в 2022 году. Abundanc of juveniles and adult barnacles (ind per 4 sq. cm) in 2022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151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rPr>
          <w:sz w:val="20"/>
          <w:szCs w:val="20"/>
        </w:rPr>
      </w:pPr>
      <w:r>
        <w:rPr>
          <w:b/>
          <w:bCs/>
          <w:sz w:val="20"/>
          <w:szCs w:val="20"/>
        </w:rPr>
        <w:t>Рисунок 2.</w:t>
      </w:r>
      <w:r>
        <w:rPr>
          <w:sz w:val="20"/>
          <w:szCs w:val="20"/>
        </w:rPr>
        <w:t xml:space="preserve"> Обилие сеголеток и взрослых балянусов (экз. на 4 кв.см.) в 2022 году. Abundanc of juveniles and adult barnacles (ind per 4 sq. cm) in 2022.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114300" distR="114300">
            <wp:extent cx="5543550" cy="5543550"/>
            <wp:effectExtent l="0" t="0" r="3810" b="3810"/>
            <wp:docPr id="27" name="Picture" descr="Рисунок 3. Многолетняя динамика обилия сеголеток на разных участках. The dynamics of the yearlings’ abundance in different s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Рисунок 3. Многолетняя динамика обилия сеголеток на разных участках. The dynamics of the yearlings’ abundance in different site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rPr>
          <w:sz w:val="20"/>
          <w:szCs w:val="20"/>
        </w:rPr>
      </w:pPr>
      <w:r>
        <w:rPr>
          <w:b/>
          <w:bCs/>
          <w:sz w:val="20"/>
          <w:szCs w:val="20"/>
        </w:rPr>
        <w:t>Рисунок 3.</w:t>
      </w:r>
      <w:r>
        <w:rPr>
          <w:sz w:val="20"/>
          <w:szCs w:val="20"/>
        </w:rPr>
        <w:t xml:space="preserve"> Многолетняя динамика обилия сеголеток на разных участках. The dynamics of the yearlings’ abundance in different sites</w:t>
      </w:r>
    </w:p>
    <w:p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>
      <w:r>
        <w:drawing>
          <wp:inline distT="0" distB="0" distL="114300" distR="114300">
            <wp:extent cx="5543550" cy="5543550"/>
            <wp:effectExtent l="0" t="0" r="0" b="0"/>
            <wp:docPr id="30" name="Picture" descr="Рисунок 4. Динамика обилия сеголеток (среднее значение по всем точкам наблюдения, A), солености (B) и температуры воды (C). Пунктирная линия отражает многолетние средние значения в июне. Dynamics of juvenile barnacles’ abundance (average for all observation sites, A), salinity (B) and water temperature (C).The dotted line represents multi-year averag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Рисунок 4. Динамика обилия сеголеток (среднее значение по всем точкам наблюдения, A), солености (B) и температуры воды (C). Пунктирная линия отражает многолетние средние значения в июне. Dynamics of juvenile barnacles’ abundance (average for all observation sites, A), salinity (B) and water temperature (C).The dotted line represents multi-year averages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rPr>
          <w:sz w:val="20"/>
          <w:szCs w:val="20"/>
        </w:rPr>
      </w:pPr>
      <w:r>
        <w:rPr>
          <w:b/>
          <w:bCs/>
          <w:sz w:val="20"/>
          <w:szCs w:val="20"/>
        </w:rPr>
        <w:t>Рисунок 4.</w:t>
      </w:r>
      <w:r>
        <w:rPr>
          <w:sz w:val="20"/>
          <w:szCs w:val="20"/>
        </w:rPr>
        <w:t xml:space="preserve"> Динамика обилия сеголеток (среднее значение по всем точкам наблюдения, </w:t>
      </w:r>
      <w:r>
        <w:rPr>
          <w:b/>
          <w:bCs/>
          <w:sz w:val="20"/>
          <w:szCs w:val="20"/>
        </w:rPr>
        <w:t>A</w:t>
      </w:r>
      <w:r>
        <w:rPr>
          <w:sz w:val="20"/>
          <w:szCs w:val="20"/>
        </w:rPr>
        <w:t>), солености (</w:t>
      </w:r>
      <w:r>
        <w:rPr>
          <w:b/>
          <w:bCs/>
          <w:sz w:val="20"/>
          <w:szCs w:val="20"/>
        </w:rPr>
        <w:t>B</w:t>
      </w:r>
      <w:r>
        <w:rPr>
          <w:sz w:val="20"/>
          <w:szCs w:val="20"/>
        </w:rPr>
        <w:t>) и температуры воды (</w:t>
      </w:r>
      <w:r>
        <w:rPr>
          <w:b/>
          <w:bCs/>
          <w:sz w:val="20"/>
          <w:szCs w:val="20"/>
        </w:rPr>
        <w:t>C</w:t>
      </w:r>
      <w:r>
        <w:rPr>
          <w:sz w:val="20"/>
          <w:szCs w:val="20"/>
        </w:rPr>
        <w:t xml:space="preserve">). Пунктирная линия отражает многолетние средние значения в июне. Dynamics of juvenile barnacles’ abundance (average for all observation sites, </w:t>
      </w:r>
      <w:r>
        <w:rPr>
          <w:b/>
          <w:bCs/>
          <w:sz w:val="20"/>
          <w:szCs w:val="20"/>
        </w:rPr>
        <w:t>A</w:t>
      </w:r>
      <w:r>
        <w:rPr>
          <w:sz w:val="20"/>
          <w:szCs w:val="20"/>
        </w:rPr>
        <w:t>), salinity (</w:t>
      </w:r>
      <w:r>
        <w:rPr>
          <w:b/>
          <w:bCs/>
          <w:sz w:val="20"/>
          <w:szCs w:val="20"/>
        </w:rPr>
        <w:t>B</w:t>
      </w:r>
      <w:r>
        <w:rPr>
          <w:sz w:val="20"/>
          <w:szCs w:val="20"/>
        </w:rPr>
        <w:t>) and water temperature (</w:t>
      </w:r>
      <w:r>
        <w:rPr>
          <w:b/>
          <w:bCs/>
          <w:sz w:val="20"/>
          <w:szCs w:val="20"/>
        </w:rPr>
        <w:t>C</w:t>
      </w:r>
      <w:r>
        <w:rPr>
          <w:sz w:val="20"/>
          <w:szCs w:val="20"/>
        </w:rPr>
        <w:t>).The dotted line represents multi-year averages.</w:t>
      </w:r>
    </w:p>
    <w:p>
      <w:pPr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br w:type="page"/>
      </w:r>
    </w:p>
    <w:p>
      <w:pPr>
        <w:pStyle w:val="27"/>
        <w:keepNext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60" w:after="60" w:line="240" w:lineRule="auto"/>
        <w:ind w:left="60" w:right="60" w:firstLine="0"/>
        <w:jc w:val="center"/>
        <w:rPr>
          <w:sz w:val="20"/>
          <w:szCs w:val="20"/>
        </w:rPr>
      </w:pPr>
      <w:r>
        <w:rPr>
          <w:sz w:val="20"/>
          <w:szCs w:val="20"/>
        </w:rPr>
        <w:t>Таблица +.2 Обилие сеголеток и взрослых балянусов  на побережье о. Ряжкова в 2022 г. (экз. на 4 кв.см.).  Abundance of barnacles juveniles adults on the shore of Ryazhkov island in 2022 (ind. per 4 sq. cm)</w:t>
      </w:r>
    </w:p>
    <w:tbl>
      <w:tblPr>
        <w:tblStyle w:val="10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948"/>
        <w:gridCol w:w="1025"/>
        <w:gridCol w:w="904"/>
        <w:gridCol w:w="1240"/>
        <w:gridCol w:w="1254"/>
        <w:gridCol w:w="1215"/>
        <w:gridCol w:w="137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tblHeader/>
          <w:jc w:val="center"/>
        </w:trPr>
        <w:tc>
          <w:tcPr>
            <w:tcW w:w="1533" w:type="dxa"/>
            <w:tcBorders>
              <w:top w:val="single" w:color="666666" w:sz="12" w:space="0"/>
              <w:left w:val="nil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  <w:rPr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  <w:i w:val="0"/>
                <w:color w:val="000000"/>
                <w:sz w:val="18"/>
                <w:szCs w:val="18"/>
                <w:u w:val="none"/>
              </w:rPr>
              <w:t>Сайт</w:t>
            </w:r>
          </w:p>
        </w:tc>
        <w:tc>
          <w:tcPr>
            <w:tcW w:w="948" w:type="dxa"/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  <w:i w:val="0"/>
                <w:color w:val="000000"/>
                <w:sz w:val="18"/>
                <w:szCs w:val="18"/>
                <w:u w:val="none"/>
              </w:rPr>
              <w:t>Камень</w:t>
            </w:r>
          </w:p>
        </w:tc>
        <w:tc>
          <w:tcPr>
            <w:tcW w:w="1025" w:type="dxa"/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  <w:rPr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  <w:i w:val="0"/>
                <w:color w:val="000000"/>
                <w:sz w:val="18"/>
                <w:szCs w:val="18"/>
                <w:u w:val="none"/>
              </w:rPr>
              <w:t>Направ</w:t>
            </w:r>
            <w:r>
              <w:rPr>
                <w:rFonts w:hint="default" w:ascii="Arial" w:hAnsi="Arial" w:eastAsia="Arial" w:cs="Arial"/>
                <w:b/>
                <w:bCs/>
                <w:i w:val="0"/>
                <w:color w:val="000000"/>
                <w:sz w:val="18"/>
                <w:szCs w:val="18"/>
                <w:u w:val="none"/>
                <w:lang w:val="en-US"/>
              </w:rPr>
              <w:t>-</w:t>
            </w:r>
            <w:r>
              <w:rPr>
                <w:rFonts w:ascii="Arial" w:hAnsi="Arial" w:eastAsia="Arial" w:cs="Arial"/>
                <w:b/>
                <w:bCs/>
                <w:i w:val="0"/>
                <w:color w:val="000000"/>
                <w:sz w:val="18"/>
                <w:szCs w:val="18"/>
                <w:u w:val="none"/>
              </w:rPr>
              <w:t>ление</w:t>
            </w:r>
          </w:p>
        </w:tc>
        <w:tc>
          <w:tcPr>
            <w:tcW w:w="904" w:type="dxa"/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  <w:i w:val="0"/>
                <w:color w:val="000000"/>
                <w:sz w:val="18"/>
                <w:szCs w:val="18"/>
                <w:u w:val="none"/>
              </w:rPr>
              <w:t>Рамка</w:t>
            </w:r>
          </w:p>
        </w:tc>
        <w:tc>
          <w:tcPr>
            <w:tcW w:w="1240" w:type="dxa"/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  <w:i w:val="0"/>
                <w:color w:val="000000"/>
                <w:sz w:val="18"/>
                <w:szCs w:val="18"/>
                <w:u w:val="none"/>
              </w:rPr>
              <w:t>Сеголетки живые</w:t>
            </w:r>
          </w:p>
        </w:tc>
        <w:tc>
          <w:tcPr>
            <w:tcW w:w="1254" w:type="dxa"/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  <w:i w:val="0"/>
                <w:color w:val="000000"/>
                <w:sz w:val="18"/>
                <w:szCs w:val="18"/>
                <w:u w:val="none"/>
              </w:rPr>
              <w:t>Сеголетки мертвые</w:t>
            </w:r>
          </w:p>
        </w:tc>
        <w:tc>
          <w:tcPr>
            <w:tcW w:w="1215" w:type="dxa"/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  <w:i w:val="0"/>
                <w:color w:val="000000"/>
                <w:sz w:val="18"/>
                <w:szCs w:val="18"/>
                <w:u w:val="none"/>
              </w:rPr>
              <w:t>Взрослые живые</w:t>
            </w:r>
          </w:p>
        </w:tc>
        <w:tc>
          <w:tcPr>
            <w:tcW w:w="1375" w:type="dxa"/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  <w:i w:val="0"/>
                <w:color w:val="000000"/>
                <w:sz w:val="18"/>
                <w:szCs w:val="18"/>
                <w:u w:val="none"/>
              </w:rPr>
              <w:t>Взрослые мертвые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666666" w:sz="12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Южная губа</w:t>
            </w:r>
          </w:p>
        </w:tc>
        <w:tc>
          <w:tcPr>
            <w:tcW w:w="948" w:type="dxa"/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19</w:t>
            </w:r>
          </w:p>
        </w:tc>
        <w:tc>
          <w:tcPr>
            <w:tcW w:w="1254" w:type="dxa"/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Южная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11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Южная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22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Южная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16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Южная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14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Южная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Южная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7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Южная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16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Южная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7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Южная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Южная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Южная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Южная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11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Южная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7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Южная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Южная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Южная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Южная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Южная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17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Южная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25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Южная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28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Южная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27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Южная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Южная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19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Южная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18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Южная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Южная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Южная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18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Южная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18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Южная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36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Южная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31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Южная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23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Южная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Южная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Южная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22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Южная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13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Южная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18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Южная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16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Южная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14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Южная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22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Южная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11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Южная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14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Южная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7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Южная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23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Южная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24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13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Южная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Южная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11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Южная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7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Южная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11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Южная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Южная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Южная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7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Южная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14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22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Южная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7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14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Восточный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Восточный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Восточный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Восточный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Восточный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Восточный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Восточный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Восточный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Восточный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Восточный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Восточный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Восточный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Восточный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Восточный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Восточный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Восточный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Восточный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Восточный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Восточный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Восточный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Восточный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Восточный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Восточный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Восточный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Восточный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Восточный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Восточный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Восточный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Восточный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Восточный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Восточный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Восточный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Восточный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Восточный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Восточный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Восточный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Восточный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Восточный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Восточный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Восточный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Восточный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Восточный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11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Восточный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Восточный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Восточный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Восточный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Восточный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Восточный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Восточный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Восточный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Восточный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Восточный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Восточный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Восточный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Северная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Северная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Северная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7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Северная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13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Северная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Северная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Северная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7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Северная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16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Северная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7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Северная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Северная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7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Северная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Северная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Северная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Северная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7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Северная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Северная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11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Северная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7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Северная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7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Северная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Северная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21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Северная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Северная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Северная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13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Северная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Северная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Северная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Северная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Северная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Северная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Северная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Северная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Северная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Северная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Северная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Северная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Северная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7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Северная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7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Северная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Северная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Северная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Северная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Северная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Северная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Северная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14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Северная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16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Северная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7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Северная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Северная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Северная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Северная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Северная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Северная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Северная губа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Западный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32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Западный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24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Западный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Западный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7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Западный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Западный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18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Западный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14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Западный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14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Западный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19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Западный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11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Западный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Западный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Западный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Западный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13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Западный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19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Западный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19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Западный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Западный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Западный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Западный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Западный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17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Западный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Западный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Западный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Западный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19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Западный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Западный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Западный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Западный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17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Западный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Западный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Западный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11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Западный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11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Западный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17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Западный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Западный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Западный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7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Западный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Западный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17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Западный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21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Западный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18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Западный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Западный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13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Западный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27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Западный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Land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Западный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32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Западный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21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Западный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34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Западный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7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Западный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Западный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Западный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11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Западный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3" w:type="dxa"/>
            <w:tcBorders>
              <w:top w:val="single" w:color="BEBEBE" w:sz="8" w:space="0"/>
              <w:left w:val="nil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Западный берег</w:t>
            </w:r>
          </w:p>
        </w:tc>
        <w:tc>
          <w:tcPr>
            <w:tcW w:w="948" w:type="dxa"/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025" w:type="dxa"/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Sea</w:t>
            </w:r>
          </w:p>
        </w:tc>
        <w:tc>
          <w:tcPr>
            <w:tcW w:w="904" w:type="dxa"/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54" w:type="dxa"/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15" w:type="dxa"/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14</w:t>
            </w:r>
          </w:p>
        </w:tc>
        <w:tc>
          <w:tcPr>
            <w:tcW w:w="1375" w:type="dxa"/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</w:tr>
    </w:tbl>
    <w:p/>
    <w:sectPr>
      <w:pgSz w:w="12240" w:h="15840"/>
      <w:pgMar w:top="1134" w:right="850" w:bottom="1134" w:left="170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335ED5"/>
    <w:rsid w:val="5E6A76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  <w:ind w:firstLine="720"/>
      <w:jc w:val="both"/>
    </w:pPr>
    <w:rPr>
      <w:rFonts w:ascii="Times New Roman" w:hAnsi="Times New Roman" w:cs="Times New Roman"/>
      <w:sz w:val="20"/>
      <w:szCs w:val="20"/>
      <w:lang w:val="ru-RU"/>
    </w:rPr>
  </w:style>
  <w:style w:type="character" w:styleId="11">
    <w:name w:val="footnote reference"/>
    <w:basedOn w:val="12"/>
    <w:qFormat/>
    <w:uiPriority w:val="0"/>
    <w:rPr>
      <w:vertAlign w:val="superscript"/>
    </w:rPr>
  </w:style>
  <w:style w:type="character" w:customStyle="1" w:styleId="12">
    <w:name w:val="Название объекта Знак"/>
    <w:basedOn w:val="9"/>
    <w:link w:val="13"/>
    <w:qFormat/>
    <w:uiPriority w:val="0"/>
  </w:style>
  <w:style w:type="paragraph" w:styleId="13">
    <w:name w:val="caption"/>
    <w:basedOn w:val="1"/>
    <w:next w:val="1"/>
    <w:link w:val="12"/>
    <w:qFormat/>
    <w:uiPriority w:val="0"/>
    <w:pPr>
      <w:spacing w:after="120"/>
    </w:pPr>
    <w:rPr>
      <w:i/>
    </w:rPr>
  </w:style>
  <w:style w:type="character" w:styleId="14">
    <w:name w:val="Hyperlink"/>
    <w:basedOn w:val="12"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7">
    <w:name w:val="Title"/>
    <w:basedOn w:val="4"/>
    <w:next w:val="3"/>
    <w:qFormat/>
    <w:uiPriority w:val="0"/>
    <w:pPr>
      <w:jc w:val="center"/>
    </w:pPr>
    <w:rPr>
      <w:rFonts w:ascii="Times New Roman" w:hAnsi="Times New Roman" w:cs="Times New Roman"/>
      <w:caps/>
      <w:color w:val="auto"/>
      <w:sz w:val="20"/>
      <w:szCs w:val="20"/>
      <w:lang w:val="ru-RU"/>
    </w:rPr>
  </w:style>
  <w:style w:type="paragraph" w:styleId="18">
    <w:name w:val="Subtitle"/>
    <w:basedOn w:val="17"/>
    <w:next w:val="3"/>
    <w:qFormat/>
    <w:uiPriority w:val="0"/>
    <w:pPr>
      <w:spacing w:before="240" w:after="240"/>
    </w:pPr>
    <w:rPr>
      <w:sz w:val="30"/>
      <w:szCs w:val="30"/>
    </w:rPr>
  </w:style>
  <w:style w:type="paragraph" w:styleId="19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</w:rPr>
  </w:style>
  <w:style w:type="paragraph" w:customStyle="1" w:styleId="20">
    <w:name w:val="First Paragraph"/>
    <w:basedOn w:val="3"/>
    <w:next w:val="3"/>
    <w:qFormat/>
    <w:uiPriority w:val="0"/>
  </w:style>
  <w:style w:type="paragraph" w:customStyle="1" w:styleId="21">
    <w:name w:val="Compact"/>
    <w:basedOn w:val="3"/>
    <w:qFormat/>
    <w:uiPriority w:val="0"/>
    <w:pPr>
      <w:spacing w:before="36" w:after="36"/>
      <w:ind w:firstLine="0"/>
      <w:jc w:val="left"/>
    </w:pPr>
    <w:rPr>
      <w:sz w:val="16"/>
      <w:szCs w:val="16"/>
    </w:rPr>
  </w:style>
  <w:style w:type="paragraph" w:customStyle="1" w:styleId="22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0"/>
      <w:szCs w:val="20"/>
      <w:lang w:val="ru-RU" w:eastAsia="en-US" w:bidi="ar-SA"/>
    </w:rPr>
  </w:style>
  <w:style w:type="paragraph" w:customStyle="1" w:styleId="23">
    <w:name w:val="Abstract"/>
    <w:basedOn w:val="3"/>
    <w:next w:val="3"/>
    <w:qFormat/>
    <w:uiPriority w:val="0"/>
    <w:rPr>
      <w:sz w:val="16"/>
      <w:szCs w:val="16"/>
    </w:rPr>
  </w:style>
  <w:style w:type="paragraph" w:customStyle="1" w:styleId="24">
    <w:name w:val="Bibliography"/>
    <w:basedOn w:val="1"/>
    <w:qFormat/>
    <w:uiPriority w:val="0"/>
  </w:style>
  <w:style w:type="paragraph" w:customStyle="1" w:styleId="25">
    <w:name w:val="Definition Term"/>
    <w:basedOn w:val="1"/>
    <w:next w:val="26"/>
    <w:qFormat/>
    <w:uiPriority w:val="0"/>
    <w:pPr>
      <w:keepNext/>
      <w:keepLines/>
      <w:spacing w:after="0"/>
    </w:pPr>
    <w:rPr>
      <w:b/>
    </w:rPr>
  </w:style>
  <w:style w:type="paragraph" w:customStyle="1" w:styleId="26">
    <w:name w:val="Definition"/>
    <w:basedOn w:val="1"/>
    <w:qFormat/>
    <w:uiPriority w:val="0"/>
  </w:style>
  <w:style w:type="paragraph" w:customStyle="1" w:styleId="27">
    <w:name w:val="Table Caption"/>
    <w:basedOn w:val="13"/>
    <w:qFormat/>
    <w:uiPriority w:val="0"/>
    <w:pPr>
      <w:keepNext/>
    </w:pPr>
  </w:style>
  <w:style w:type="paragraph" w:customStyle="1" w:styleId="28">
    <w:name w:val="Image Caption"/>
    <w:basedOn w:val="13"/>
    <w:uiPriority w:val="0"/>
  </w:style>
  <w:style w:type="paragraph" w:customStyle="1" w:styleId="29">
    <w:name w:val="Figure"/>
    <w:basedOn w:val="1"/>
    <w:qFormat/>
    <w:uiPriority w:val="0"/>
  </w:style>
  <w:style w:type="paragraph" w:customStyle="1" w:styleId="30">
    <w:name w:val="Figure with Caption"/>
    <w:basedOn w:val="29"/>
    <w:qFormat/>
    <w:uiPriority w:val="0"/>
    <w:pPr>
      <w:keepNext/>
    </w:pPr>
  </w:style>
  <w:style w:type="character" w:customStyle="1" w:styleId="31">
    <w:name w:val="Verbatim Char"/>
    <w:basedOn w:val="12"/>
    <w:link w:val="32"/>
    <w:qFormat/>
    <w:uiPriority w:val="0"/>
    <w:rPr>
      <w:rFonts w:ascii="Consolas" w:hAnsi="Consolas"/>
      <w:sz w:val="22"/>
    </w:rPr>
  </w:style>
  <w:style w:type="paragraph" w:customStyle="1" w:styleId="32">
    <w:name w:val="Source Code"/>
    <w:basedOn w:val="1"/>
    <w:link w:val="31"/>
    <w:qFormat/>
    <w:uiPriority w:val="0"/>
    <w:pPr>
      <w:shd w:val="clear" w:color="auto" w:fill="F8F8F8"/>
      <w:wordWrap w:val="0"/>
    </w:pPr>
  </w:style>
  <w:style w:type="paragraph" w:customStyle="1" w:styleId="3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34">
    <w:name w:val="KeywordTok"/>
    <w:basedOn w:val="31"/>
    <w:qFormat/>
    <w:uiPriority w:val="0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35">
    <w:name w:val="DataTypeTok"/>
    <w:basedOn w:val="31"/>
    <w:qFormat/>
    <w:uiPriority w:val="0"/>
    <w:rPr>
      <w:rFonts w:ascii="Consolas" w:hAnsi="Consolas"/>
      <w:color w:val="204A87"/>
      <w:sz w:val="22"/>
      <w:shd w:val="clear" w:color="auto" w:fill="F8F8F8"/>
    </w:rPr>
  </w:style>
  <w:style w:type="character" w:customStyle="1" w:styleId="36">
    <w:name w:val="DecValTok"/>
    <w:basedOn w:val="31"/>
    <w:qFormat/>
    <w:uiPriority w:val="0"/>
    <w:rPr>
      <w:rFonts w:ascii="Consolas" w:hAnsi="Consolas"/>
      <w:color w:val="0000CF"/>
      <w:sz w:val="22"/>
      <w:shd w:val="clear" w:color="auto" w:fill="F8F8F8"/>
    </w:rPr>
  </w:style>
  <w:style w:type="character" w:customStyle="1" w:styleId="37">
    <w:name w:val="BaseNTok"/>
    <w:basedOn w:val="31"/>
    <w:qFormat/>
    <w:uiPriority w:val="0"/>
    <w:rPr>
      <w:rFonts w:ascii="Consolas" w:hAnsi="Consolas"/>
      <w:color w:val="0000CF"/>
      <w:sz w:val="22"/>
      <w:shd w:val="clear" w:color="auto" w:fill="F8F8F8"/>
    </w:rPr>
  </w:style>
  <w:style w:type="character" w:customStyle="1" w:styleId="38">
    <w:name w:val="FloatTok"/>
    <w:basedOn w:val="31"/>
    <w:qFormat/>
    <w:uiPriority w:val="0"/>
    <w:rPr>
      <w:rFonts w:ascii="Consolas" w:hAnsi="Consolas"/>
      <w:color w:val="0000CF"/>
      <w:sz w:val="22"/>
      <w:shd w:val="clear" w:color="auto" w:fill="F8F8F8"/>
    </w:rPr>
  </w:style>
  <w:style w:type="character" w:customStyle="1" w:styleId="39">
    <w:name w:val="ConstantTok"/>
    <w:basedOn w:val="31"/>
    <w:qFormat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40">
    <w:name w:val="CharTok"/>
    <w:basedOn w:val="31"/>
    <w:qFormat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41">
    <w:name w:val="SpecialCharTok"/>
    <w:basedOn w:val="31"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42">
    <w:name w:val="StringTok"/>
    <w:basedOn w:val="31"/>
    <w:qFormat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43">
    <w:name w:val="VerbatimStringTok"/>
    <w:basedOn w:val="31"/>
    <w:qFormat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44">
    <w:name w:val="SpecialStringTok"/>
    <w:basedOn w:val="31"/>
    <w:qFormat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45">
    <w:name w:val="ImportTok"/>
    <w:basedOn w:val="31"/>
    <w:qFormat/>
    <w:uiPriority w:val="0"/>
    <w:rPr>
      <w:rFonts w:ascii="Consolas" w:hAnsi="Consolas"/>
      <w:sz w:val="22"/>
      <w:shd w:val="clear" w:color="auto" w:fill="F8F8F8"/>
    </w:rPr>
  </w:style>
  <w:style w:type="character" w:customStyle="1" w:styleId="46">
    <w:name w:val="CommentTok"/>
    <w:basedOn w:val="31"/>
    <w:qFormat/>
    <w:uiPriority w:val="0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47">
    <w:name w:val="DocumentationTok"/>
    <w:basedOn w:val="31"/>
    <w:qFormat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48">
    <w:name w:val="AnnotationTok"/>
    <w:basedOn w:val="31"/>
    <w:qFormat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49">
    <w:name w:val="CommentVarTok"/>
    <w:basedOn w:val="31"/>
    <w:qFormat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50">
    <w:name w:val="OtherTok"/>
    <w:basedOn w:val="31"/>
    <w:uiPriority w:val="0"/>
    <w:rPr>
      <w:rFonts w:ascii="Consolas" w:hAnsi="Consolas"/>
      <w:color w:val="8F5902"/>
      <w:sz w:val="22"/>
      <w:shd w:val="clear" w:color="auto" w:fill="F8F8F8"/>
    </w:rPr>
  </w:style>
  <w:style w:type="character" w:customStyle="1" w:styleId="51">
    <w:name w:val="FunctionTok"/>
    <w:basedOn w:val="31"/>
    <w:qFormat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52">
    <w:name w:val="VariableTok"/>
    <w:basedOn w:val="31"/>
    <w:qFormat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53">
    <w:name w:val="ControlFlowTok"/>
    <w:basedOn w:val="31"/>
    <w:uiPriority w:val="0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54">
    <w:name w:val="OperatorTok"/>
    <w:basedOn w:val="31"/>
    <w:qFormat/>
    <w:uiPriority w:val="0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55">
    <w:name w:val="BuiltInTok"/>
    <w:basedOn w:val="31"/>
    <w:uiPriority w:val="0"/>
    <w:rPr>
      <w:rFonts w:ascii="Consolas" w:hAnsi="Consolas"/>
      <w:sz w:val="22"/>
      <w:shd w:val="clear" w:color="auto" w:fill="F8F8F8"/>
    </w:rPr>
  </w:style>
  <w:style w:type="character" w:customStyle="1" w:styleId="56">
    <w:name w:val="ExtensionTok"/>
    <w:basedOn w:val="31"/>
    <w:qFormat/>
    <w:uiPriority w:val="0"/>
    <w:rPr>
      <w:rFonts w:ascii="Consolas" w:hAnsi="Consolas"/>
      <w:sz w:val="22"/>
      <w:shd w:val="clear" w:color="auto" w:fill="F8F8F8"/>
    </w:rPr>
  </w:style>
  <w:style w:type="character" w:customStyle="1" w:styleId="57">
    <w:name w:val="PreprocessorTok"/>
    <w:basedOn w:val="31"/>
    <w:qFormat/>
    <w:uiPriority w:val="0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58">
    <w:name w:val="AttributeTok"/>
    <w:basedOn w:val="31"/>
    <w:qFormat/>
    <w:uiPriority w:val="0"/>
    <w:rPr>
      <w:rFonts w:ascii="Consolas" w:hAnsi="Consolas"/>
      <w:color w:val="C4A000"/>
      <w:sz w:val="22"/>
      <w:shd w:val="clear" w:color="auto" w:fill="F8F8F8"/>
    </w:rPr>
  </w:style>
  <w:style w:type="character" w:customStyle="1" w:styleId="59">
    <w:name w:val="RegionMarkerTok"/>
    <w:basedOn w:val="31"/>
    <w:qFormat/>
    <w:uiPriority w:val="0"/>
    <w:rPr>
      <w:rFonts w:ascii="Consolas" w:hAnsi="Consolas"/>
      <w:sz w:val="22"/>
      <w:shd w:val="clear" w:color="auto" w:fill="F8F8F8"/>
    </w:rPr>
  </w:style>
  <w:style w:type="character" w:customStyle="1" w:styleId="60">
    <w:name w:val="InformationTok"/>
    <w:basedOn w:val="31"/>
    <w:qFormat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61">
    <w:name w:val="WarningTok"/>
    <w:basedOn w:val="31"/>
    <w:qFormat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62">
    <w:name w:val="AlertTok"/>
    <w:basedOn w:val="31"/>
    <w:qFormat/>
    <w:uiPriority w:val="0"/>
    <w:rPr>
      <w:rFonts w:ascii="Consolas" w:hAnsi="Consolas"/>
      <w:color w:val="EF2929"/>
      <w:sz w:val="22"/>
      <w:shd w:val="clear" w:color="auto" w:fill="F8F8F8"/>
    </w:rPr>
  </w:style>
  <w:style w:type="character" w:customStyle="1" w:styleId="63">
    <w:name w:val="ErrorTok"/>
    <w:basedOn w:val="31"/>
    <w:qFormat/>
    <w:uiPriority w:val="0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64">
    <w:name w:val="NormalTok"/>
    <w:basedOn w:val="31"/>
    <w:qFormat/>
    <w:uiPriority w:val="0"/>
    <w:rPr>
      <w:rFonts w:ascii="Consolas" w:hAnsi="Consolas"/>
      <w:sz w:val="22"/>
      <w:shd w:val="clear" w:color="auto" w:fill="F8F8F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364</Words>
  <Characters>2080</Characters>
  <Lines>17</Lines>
  <Paragraphs>4</Paragraphs>
  <TotalTime>1</TotalTime>
  <ScaleCrop>false</ScaleCrop>
  <LinksUpToDate>false</LinksUpToDate>
  <CharactersWithSpaces>2440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2023-03-19T06:36:00Z</dcterms:created>
  <dc:creator>В. М. Хайтов</dc:creator>
  <cp:lastModifiedBy>google1599737165</cp:lastModifiedBy>
  <dcterms:modified xsi:type="dcterms:W3CDTF">2023-03-26T13:17:02Z</dcterms:modified>
  <dc:title>Характеристика популяции Semibalanus balanoides на литорали острова Ряжкова летом 2022 г.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Хайтов В. М. Характеристика популяции Semibalanus balanoides на литорали острова Ряжкова летом 2022г.  // Марченков А. В. (ред.) Летопись природы Кадалакшского заповедника за 2022 год (ежегодный отчет). Кандалакша. Т.1 (Летопись природы Кандалакшского заповедника, кн. ++) Рассматриваются данные по учету обилия сеголеток и взрослых балянусов на литоральных валунах летом 2022.Khaitov V.M. Population characteristics of * Semibalanus balanoides* on the intertidal zone of Ryazhkov Island in the summer of 2022 // Marchenkov A. V. (ed.) The Chronicle of Nature by the Kandalaksha Reserve for 2022 (Annual report). Kandalaksha. V.1. (The Chronicle of Nature by the Kandalaksha Reserve, Book N ++) The data on abundance of yearlings and adult barnacls on boulders in summer months of 2022 are reviewed.</vt:lpwstr>
  </property>
  <property fmtid="{D5CDD505-2E9C-101B-9397-08002B2CF9AE}" pid="3" name="output">
    <vt:lpwstr/>
  </property>
  <property fmtid="{D5CDD505-2E9C-101B-9397-08002B2CF9AE}" pid="4" name="KSOProductBuildVer">
    <vt:lpwstr>1049-11.2.0.11486</vt:lpwstr>
  </property>
  <property fmtid="{D5CDD505-2E9C-101B-9397-08002B2CF9AE}" pid="5" name="ICV">
    <vt:lpwstr>D2C06709D958473589E64E4905BDB09E</vt:lpwstr>
  </property>
</Properties>
</file>