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Сообщества мидиевых банок в Вороньей губе летом 2023 г.</w:t>
      </w:r>
    </w:p>
    <w:p>
      <w:pPr>
        <w:pStyle w:val="22"/>
      </w:pPr>
      <w:r>
        <w:t>В. М. Хайтов, И. М. Нужин</w:t>
      </w:r>
    </w:p>
    <w:p>
      <w:pPr>
        <w:pStyle w:val="23"/>
      </w:pPr>
      <w:r>
        <w:rPr>
          <w:b/>
          <w:bCs/>
        </w:rPr>
        <w:t xml:space="preserve">Хайтов В. М., Нужин И. М. Сообщества мидиевых банок в Вороньей губе летом 2023 г. </w:t>
      </w:r>
      <w:r>
        <w:t xml:space="preserve"> // Толмачева Е. Л. (ред.) Летопись природы Кадалакшского заповедника за 2023 год (ежегодный отчет). Кандалакша. Т.1 (Летопись природы Кандалакшского заповедника, кн. ++) Рассматриваются данные по обилию видов, наседяющих две мидиевые банки в Вороньей губе. Проводится анализ таксномической струкутры поселения вида эдификатора (соотношение T- и E-морфотипов мидий).</w:t>
      </w:r>
    </w:p>
    <w:p>
      <w:pPr>
        <w:pStyle w:val="23"/>
      </w:pPr>
      <w:r>
        <w:rPr>
          <w:b/>
          <w:bCs/>
        </w:rPr>
        <w:t>Khaitov V.M., Nuzhin I. M. Mussel beds’ communities in Voronya Bay in the summer of 2023.</w:t>
      </w:r>
      <w:r>
        <w:t xml:space="preserve"> // Tolmacheva E. L. (ed.) The Chronicle of Nature by the Kandalaksha Reserve for 2023 (Annual report). Kandalaksha. V.1. (The Chronicle of Nature by the Kandalaksha Reserve, Book N ++) Data on the abundance of species inhabiting two mussel beds in Voronya Bay are reviewed. The taxonomic structure of the settlement of mussels (the ratio of T- and E-morphotypes of mussels) is analysed</w:t>
      </w:r>
    </w:p>
    <w:p>
      <w:pPr>
        <w:pStyle w:val="20"/>
      </w:pPr>
      <w:r>
        <w:rPr>
          <w:b/>
          <w:bCs/>
        </w:rPr>
        <w:t>Методика сбора материала</w:t>
      </w:r>
    </w:p>
    <w:p>
      <w:pPr>
        <w:pStyle w:val="3"/>
      </w:pPr>
      <w:r>
        <w:t>Материал был собран на двух мидиевых банках, расположенных в Вороньей губе. В данной главе использованы обозначения мидиевых банок, устоявшиеся в предыдущих изданиях «Летописи природы Кандалакшского заповедника».</w:t>
      </w:r>
    </w:p>
    <w:p>
      <w:pPr>
        <w:pStyle w:val="3"/>
      </w:pPr>
      <w:r>
        <w:t xml:space="preserve">Мидиевая банка </w:t>
      </w:r>
      <w:r>
        <w:rPr>
          <w:i/>
          <w:iCs/>
        </w:rPr>
        <w:t>«vor4»</w:t>
      </w:r>
      <w:r>
        <w:t xml:space="preserve"> N 66,934386 E 32,506852 Банка расположена на косе, идущей от материка на расстоянии около 500 м от входа в Воронью губу.</w:t>
      </w:r>
    </w:p>
    <w:p>
      <w:pPr>
        <w:pStyle w:val="3"/>
      </w:pPr>
      <w:r>
        <w:t xml:space="preserve">Мидиевая банка </w:t>
      </w:r>
      <w:r>
        <w:rPr>
          <w:i/>
          <w:iCs/>
        </w:rPr>
        <w:t>«vor3»</w:t>
      </w:r>
      <w:r>
        <w:t xml:space="preserve"> N 66,938023 E 32,478542 Банка располагается на небольшом мысу на северном берегу Вороньей губы в центральной ее части. Последний раз эта мидиевая банка была описана в 2005 г. (см. Летопись природы за 2005 г.)</w:t>
      </w:r>
    </w:p>
    <w:p>
      <w:pPr>
        <w:pStyle w:val="3"/>
      </w:pPr>
      <w:r>
        <w:t>Пробы брались в первой половине августа. Для взятия проб использовали круглый пробоотборник площадью 1/182 м</w:t>
      </w:r>
      <w:r>
        <w:rPr>
          <w:vertAlign w:val="superscript"/>
        </w:rPr>
        <w:t>2</w:t>
      </w:r>
      <w:r>
        <w:t>, Который вдавливался в грунт на глубину 10-15 см. Выбор места взятия проб в пределах мидиевой банки определялся случайным образом. Все точки взятия проб располагались только на местах скопления мидий (но не на «проплешинах» грунта, свободного от поселения моллюсков).</w:t>
      </w:r>
    </w:p>
    <w:p>
      <w:pPr>
        <w:pStyle w:val="3"/>
      </w:pPr>
      <w:r>
        <w:t xml:space="preserve">Пробы промывали через сито с диаметром ячеи 0,5 мм. Из проб выбирались все животные и растения. После максимально подробного определения организмы подсчитывались. При этом, у моллюсков подсчитывали как живых особей, так и раковины мертвых животных. Мидии и водоросли были взвешены с точностью до 0.001 г. У мидий, имевших размеры более 10 мм был определен морфотип (см. главу “Cтруктура смешанных поселений </w:t>
      </w:r>
      <w:r>
        <w:rPr>
          <w:i/>
          <w:iCs/>
        </w:rPr>
        <w:t>Mytilus edulis</w:t>
      </w:r>
      <w:r>
        <w:t xml:space="preserve"> и </w:t>
      </w:r>
      <w:r>
        <w:rPr>
          <w:i/>
          <w:iCs/>
        </w:rPr>
        <w:t>M.trossulus</w:t>
      </w:r>
      <w:r>
        <w:t xml:space="preserve"> в вершине Кандалакшского залива летом 2023 г.” данного тома Летописи). Данные по обилию организмов, отмеченных в пробах приведены в Таблице +. 1.</w:t>
      </w:r>
    </w:p>
    <w:p>
      <w:pPr>
        <w:pStyle w:val="3"/>
      </w:pPr>
      <w:r>
        <w:rPr>
          <w:b/>
          <w:bCs/>
        </w:rPr>
        <w:t>Таксономическая структура поселения мидий</w:t>
      </w:r>
    </w:p>
    <w:p>
      <w:pPr>
        <w:pStyle w:val="3"/>
      </w:pPr>
      <w:r>
        <w:t xml:space="preserve">Две исследованных мидиевых банки существенно различались по таксономическому составу поселения мидий (Рисунок 1, Таблица +.2). На банке </w:t>
      </w:r>
      <w:r>
        <w:rPr>
          <w:i/>
          <w:iCs/>
        </w:rPr>
        <w:t>vor4</w:t>
      </w:r>
      <w:r>
        <w:t xml:space="preserve"> доля мидий T-морфотиипа (медиана 0.5) была значительно выше, чем на банке </w:t>
      </w:r>
      <w:r>
        <w:rPr>
          <w:i/>
          <w:iCs/>
        </w:rPr>
        <w:t>vor3</w:t>
      </w:r>
      <w:r>
        <w:t xml:space="preserve"> (медиана 0.08). Таким образом, на банке </w:t>
      </w:r>
      <w:r>
        <w:rPr>
          <w:i/>
          <w:iCs/>
        </w:rPr>
        <w:t>vor4</w:t>
      </w:r>
      <w:r>
        <w:t xml:space="preserve"> частота </w:t>
      </w:r>
      <w:r>
        <w:rPr>
          <w:i/>
          <w:iCs/>
        </w:rPr>
        <w:t>M.trossulus</w:t>
      </w:r>
      <w:r>
        <w:t xml:space="preserve"> была в несколько раз выше, чем на банке </w:t>
      </w:r>
      <w:r>
        <w:rPr>
          <w:i/>
          <w:iCs/>
        </w:rPr>
        <w:t>vor3</w:t>
      </w:r>
      <w:r>
        <w:t xml:space="preserve">. Вместе с тем, в пределах мидиевой банки </w:t>
      </w:r>
      <w:r>
        <w:rPr>
          <w:i/>
          <w:iCs/>
        </w:rPr>
        <w:t>vor4</w:t>
      </w:r>
      <w:r>
        <w:t xml:space="preserve"> доля T-морфотипа варьировала в широких пределах: от 0.1 до 0.75. В пределах мидиевой банки </w:t>
      </w:r>
      <w:r>
        <w:rPr>
          <w:i/>
          <w:iCs/>
        </w:rPr>
        <w:t>vor3</w:t>
      </w:r>
      <w:r>
        <w:t xml:space="preserve"> доля T-морфотипа варьировала от 0.01 до 0.53.</w:t>
      </w:r>
    </w:p>
    <w:p>
      <w:pPr>
        <w:pStyle w:val="3"/>
      </w:pPr>
      <w:r>
        <w:t xml:space="preserve">Возможной причиной различий в таксономической структуре двух банок может быть различие в их положении относительно устья Вороньей губы - банка </w:t>
      </w:r>
      <w:r>
        <w:rPr>
          <w:i/>
          <w:iCs/>
        </w:rPr>
        <w:t>vor4</w:t>
      </w:r>
      <w:r>
        <w:t xml:space="preserve"> располагается ближе ко входу в акваторию, что, возможно, определяет приток личинок </w:t>
      </w:r>
      <w:r>
        <w:rPr>
          <w:i/>
          <w:iCs/>
        </w:rPr>
        <w:t>M.trossulus</w:t>
      </w:r>
      <w:r>
        <w:t>, приходящих из открытой части акватории Кандалакшского залива, где наблюдается экспансия этого вида в последние десятилетия.</w:t>
      </w:r>
    </w:p>
    <w:p>
      <w:r>
        <w:drawing>
          <wp:inline distT="0" distB="0" distL="114300" distR="114300">
            <wp:extent cx="3669665" cy="3669665"/>
            <wp:effectExtent l="0" t="0" r="0" b="0"/>
            <wp:docPr id="21" name="Picture" descr="Рисунок 1. Доля мидий T-морфотипа на двух мидевых банках в 2023 г.. Proportion of T-morphotype mussels on two mussel beds in 20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Рисунок 1. Доля мидий T-морфотипа на двух мидевых банках в 2023 г.. Proportion of T-morphotype mussels on two mussel beds in 2023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832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r>
        <w:rPr>
          <w:b/>
          <w:bCs/>
        </w:rPr>
        <w:t>Рисунок 1.</w:t>
      </w:r>
      <w:r>
        <w:t xml:space="preserve"> Доля мидий T-морфотипа на двух мидевых банках в 2023 г.. Proportion of T-morphotype mussels on two mussel beds in 2023.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</w:pPr>
      <w:r>
        <w:rPr>
          <w:b/>
          <w:bCs/>
        </w:rPr>
        <w:t>Сообщества, связанные с мидиевыми банками</w:t>
      </w:r>
    </w:p>
    <w:p>
      <w:pPr>
        <w:pStyle w:val="3"/>
      </w:pPr>
      <w:r>
        <w:t>Сообщества двух мидевых банок существенно отличались (Рисунок 2, PERMANOVA: F = 4.94, p = 0.001). Оценка вклада в формирование отличий между двумя банками с помощью метода SIMPER (Таблица +.3) показало, что наибольший вклад в формирование различий между двумя банками (до 80% различий) вносят следующие виды: Hydrobia ulvae (мертв.) , Tubificoides benedeni, Hydrobia ulvae. В настоящий момент однозначно утверждать, что наблюдаемые различия сообществ связаны с различием таксономического состава поселений мидий, как вида-эдификатора, пока нельзя.</w:t>
      </w:r>
    </w:p>
    <w:p>
      <w:r>
        <w:drawing>
          <wp:inline distT="0" distB="0" distL="114300" distR="114300">
            <wp:extent cx="4587240" cy="3669665"/>
            <wp:effectExtent l="0" t="0" r="0" b="0"/>
            <wp:docPr id="24" name="Picture" descr="Рисунок 2. Многомерное шкалирование проб, взятых на двух мидиевых банках (анализ основан на коэффициенте Брея-Кертиса). Multidimensional scaling of samples from two mussel beds (the analyses based on the Bray-Curtis coefficien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Рисунок 2. Многомерное шкалирование проб, взятых на двух мидиевых банках (анализ основан на коэффициенте Брея-Кертиса). Multidimensional scaling of samples from two mussel beds (the analyses based on the Bray-Curtis coefficient)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r>
        <w:rPr>
          <w:b/>
          <w:bCs/>
        </w:rPr>
        <w:t>Рисунок 2.</w:t>
      </w:r>
      <w:r>
        <w:t xml:space="preserve"> Многомерное шкалирование проб, взятых на двух мидиевых банках (анализ основан на коэффициенте Брея-Кертиса). Multidimensional scaling of samples from two mussel beds (the analyses based on the Bray-Curtis coefficient).</w:t>
      </w:r>
    </w:p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Таблица +.1 Обилие (для животных численность, для растений биомасса в граммах) в пробах (1/182 кв.м) на двух мидиевых банках. Abundance (for animals individuals' number, for plants biomass) in samples (1/182 square metres) from two mussel beds.</w:t>
      </w: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671"/>
        <w:gridCol w:w="3170"/>
        <w:gridCol w:w="11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Банка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Номер пробы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Вид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Обилие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Arenicola marina</w:t>
            </w:r>
          </w:p>
        </w:tc>
        <w:tc>
          <w:tcPr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Harmothoe imbricata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Oligochaeta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Pygospio elegans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Fucus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Oligochaeta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Turbellaria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Fucus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1.886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Polydora quadrilobata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Pygospio elegans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Turbellaria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Fucus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0.886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Oligochaeta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Turbellaria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Fucus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Oligochaeta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Polydora quadrilobata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Pygospio elegans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Turbellaria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0.682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Oligochaeta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Pygospio elegans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Oligochaeta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Pygospio elegans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Fabricia sabella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Harmothoe imbricata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Oligochaeta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Polydora quadrilobata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Fabricia sabella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Harmothoe imbricata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Oligochaeta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Turbellaria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0.373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Polydora quadrilobata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Pygospio elegans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Onoba aculeus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Skeneopsis planorbis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0.582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Bunodactis stella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Fucus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0.433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1,003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Oligochaeta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Onoba aculeus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Polydora quadrilobata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Pygospio elegans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Skeneopsis planorbis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Skeneopsis planorbis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Harmothoe imbricata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Polydora quadrilobata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0.799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Harmothoe imbricata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Oligochaeta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Pectinaria hyperborea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Polydora quadrilobata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0.631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Cylichna occulta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Onoba aculeus (мертв.) 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Skeneopsis planorbis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0.394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Fucus sp.</w:t>
            </w:r>
          </w:p>
        </w:tc>
        <w:tc>
          <w:tcPr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0.017</w:t>
            </w:r>
          </w:p>
        </w:tc>
      </w:tr>
    </w:tbl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Таблица +.1 Параметры поселений мидий в пробах на мидиевых банках. Parameters of mussel settlement in mussel beds samples.</w:t>
      </w:r>
    </w:p>
    <w:tbl>
      <w:tblPr>
        <w:tblStyle w:val="10"/>
        <w:tblW w:w="889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771"/>
        <w:gridCol w:w="1493"/>
        <w:gridCol w:w="1320"/>
        <w:gridCol w:w="1280"/>
        <w:gridCol w:w="1387"/>
        <w:gridCol w:w="1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Банка</w:t>
            </w:r>
          </w:p>
        </w:tc>
        <w:tc>
          <w:tcPr>
            <w:tcW w:w="771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Номер пробы</w:t>
            </w:r>
          </w:p>
        </w:tc>
        <w:tc>
          <w:tcPr>
            <w:tcW w:w="1493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Численность мидий</w:t>
            </w:r>
          </w:p>
        </w:tc>
        <w:tc>
          <w:tcPr>
            <w:tcW w:w="1320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Биомасса мидий</w:t>
            </w:r>
          </w:p>
        </w:tc>
        <w:tc>
          <w:tcPr>
            <w:tcW w:w="1280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Число осбей T-морфотипа</w:t>
            </w:r>
          </w:p>
        </w:tc>
        <w:tc>
          <w:tcPr>
            <w:tcW w:w="1387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Число особей E-морфотипа</w:t>
            </w:r>
          </w:p>
        </w:tc>
        <w:tc>
          <w:tcPr>
            <w:tcW w:w="1680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Доля T-мофотипа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W w:w="771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493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250</w:t>
            </w:r>
          </w:p>
        </w:tc>
        <w:tc>
          <w:tcPr>
            <w:tcW w:w="1320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89.14</w:t>
            </w:r>
          </w:p>
        </w:tc>
        <w:tc>
          <w:tcPr>
            <w:tcW w:w="1280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87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61</w:t>
            </w:r>
          </w:p>
        </w:tc>
        <w:tc>
          <w:tcPr>
            <w:tcW w:w="1680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292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89.90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57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330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103.82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69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284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4.43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79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227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109.07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72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219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97.55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54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193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44.84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35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31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vor3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482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97.66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45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47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245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83.09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31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40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374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84.91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26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57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279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77.39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73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29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591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105.09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51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45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281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114.49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125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46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217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85.66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34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40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111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91.09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97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37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139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77.44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60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554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85.33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33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227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66.03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46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24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425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90.89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41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vor4</w:t>
            </w:r>
          </w:p>
        </w:tc>
        <w:tc>
          <w:tcPr>
            <w:tcW w:w="771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1493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254</w:t>
            </w:r>
          </w:p>
        </w:tc>
        <w:tc>
          <w:tcPr>
            <w:tcW w:w="1320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99.05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387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63</w:t>
            </w:r>
          </w:p>
        </w:tc>
        <w:tc>
          <w:tcPr>
            <w:tcW w:w="1680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0.10</w:t>
            </w:r>
          </w:p>
        </w:tc>
      </w:tr>
    </w:tbl>
    <w:p>
      <w:r>
        <w:br w:type="page"/>
      </w:r>
    </w:p>
    <w:p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/>
        <w:jc w:val="center"/>
      </w:pPr>
      <w:r>
        <w:t>Таблица +.3 Результаты процедуры SIMPER при сравнени</w:t>
      </w:r>
      <w:r>
        <w:rPr>
          <w:lang w:val="ru-RU"/>
        </w:rPr>
        <w:t>и</w:t>
      </w:r>
      <w:bookmarkStart w:id="0" w:name="_GoBack"/>
      <w:bookmarkEnd w:id="0"/>
      <w:r>
        <w:t xml:space="preserve"> двух мидиевых банок. Results of the SIMPER procedure to compare two mussel beds.</w:t>
      </w:r>
    </w:p>
    <w:tbl>
      <w:tblPr>
        <w:tblStyle w:val="10"/>
        <w:tblW w:w="885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0"/>
        <w:gridCol w:w="1456"/>
        <w:gridCol w:w="1280"/>
        <w:gridCol w:w="1147"/>
        <w:gridCol w:w="18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Вид</w:t>
            </w:r>
          </w:p>
        </w:tc>
        <w:tc>
          <w:tcPr>
            <w:tcW w:w="1456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Вклад в формирование различий</w:t>
            </w:r>
          </w:p>
        </w:tc>
        <w:tc>
          <w:tcPr>
            <w:tcW w:w="1280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Среднее обиле на банке vor3</w:t>
            </w:r>
          </w:p>
        </w:tc>
        <w:tc>
          <w:tcPr>
            <w:tcW w:w="1147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Среднее обиле на банке vor4</w:t>
            </w:r>
          </w:p>
        </w:tc>
        <w:tc>
          <w:tcPr>
            <w:tcW w:w="1800" w:type="dxa"/>
            <w:tcBorders>
              <w:top w:val="single" w:color="666666" w:sz="12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Кумулята уровня различий (%)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Hydrobia ulvae (мертв.) </w:t>
            </w:r>
          </w:p>
        </w:tc>
        <w:tc>
          <w:tcPr>
            <w:tcW w:w="1456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0.157</w:t>
            </w:r>
          </w:p>
        </w:tc>
        <w:tc>
          <w:tcPr>
            <w:tcW w:w="1280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121.38</w:t>
            </w:r>
          </w:p>
        </w:tc>
        <w:tc>
          <w:tcPr>
            <w:tcW w:w="1147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311.67</w:t>
            </w:r>
          </w:p>
        </w:tc>
        <w:tc>
          <w:tcPr>
            <w:tcW w:w="1800" w:type="dxa"/>
            <w:tcBorders>
              <w:top w:val="single" w:color="666666" w:sz="12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Tubificoides benedeni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0.131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81.75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236.33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58.5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Hydrobia ulvae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0.090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153.75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114.42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76.7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Oligochaeta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0.023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25.50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4.42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81.3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Macoma balthica (мертв.) 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0.016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7.00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25.58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84.6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Gammaridea gen. sp.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0.013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18.00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22.50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87.3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Littorina sp.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0.011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12.25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11.25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89.6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Littorina sp. (мертв.) 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0.009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13.38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9.75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91.3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Nemertini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0.008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6.62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11.33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Polydora quadrilobata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0.007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0.25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6.92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Onoba aculeus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0.006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8.38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3.50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95.6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Chironomidae gen sp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0.006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0.75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8.00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96.8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Macoma balthica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0.006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9.12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13.33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Jaera sp.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0.002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0.75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2.33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98.3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Capitella capitata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0.002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1.50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1.42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98.7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Turbellaria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0.001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1.12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0.83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Skeneopsis planorbis (мертв.) 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0.001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1.75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Onoba aculeus (мертв.) 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0.001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2.00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Pygospio elegans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0.001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1.12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0.25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Harmothoe imbricata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0.001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0.12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0.50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Fucus sp.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0.35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0.04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Skeneopsis planorbis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0.50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Нитчатые водоросли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0.28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Fabricia sabella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0.25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99.9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Arenicola marina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0.12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100.0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Pectinaria hyperborea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0.08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100.0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Bunodactis stella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0.08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BEBEBE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100.0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BEBEBE" w:sz="8" w:space="0"/>
              <w:left w:val="nil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Cylichna occulta (мертв.) </w:t>
            </w:r>
          </w:p>
        </w:tc>
        <w:tc>
          <w:tcPr>
            <w:tcW w:w="1456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0.000</w:t>
            </w:r>
          </w:p>
        </w:tc>
        <w:tc>
          <w:tcPr>
            <w:tcW w:w="1280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0.00</w:t>
            </w:r>
          </w:p>
        </w:tc>
        <w:tc>
          <w:tcPr>
            <w:tcW w:w="1147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single" w:color="BEBEBE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0.08</w:t>
            </w:r>
          </w:p>
        </w:tc>
        <w:tc>
          <w:tcPr>
            <w:tcW w:w="1800" w:type="dxa"/>
            <w:tcBorders>
              <w:top w:val="single" w:color="BEBEBE" w:sz="8" w:space="0"/>
              <w:left w:val="single" w:color="BEBEBE" w:sz="8" w:space="0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0"/>
                <w:szCs w:val="20"/>
                <w:u w:val="none"/>
              </w:rPr>
              <w:t>100.0</w:t>
            </w:r>
          </w:p>
        </w:tc>
      </w:tr>
    </w:tbl>
    <w:p/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E56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character" w:styleId="11">
    <w:name w:val="footnote reference"/>
    <w:basedOn w:val="12"/>
    <w:qFormat/>
    <w:uiPriority w:val="0"/>
    <w:rPr>
      <w:vertAlign w:val="superscript"/>
    </w:rPr>
  </w:style>
  <w:style w:type="character" w:customStyle="1" w:styleId="12">
    <w:name w:val="Название объекта Знак"/>
    <w:basedOn w:val="9"/>
    <w:link w:val="13"/>
    <w:uiPriority w:val="0"/>
  </w:style>
  <w:style w:type="paragraph" w:styleId="13">
    <w:name w:val="caption"/>
    <w:basedOn w:val="1"/>
    <w:next w:val="1"/>
    <w:link w:val="12"/>
    <w:qFormat/>
    <w:uiPriority w:val="0"/>
    <w:pPr>
      <w:spacing w:after="120"/>
    </w:pPr>
    <w:rPr>
      <w:i/>
    </w:rPr>
  </w:style>
  <w:style w:type="character" w:styleId="14">
    <w:name w:val="Hyperlink"/>
    <w:basedOn w:val="12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Title"/>
    <w:basedOn w:val="4"/>
    <w:next w:val="3"/>
    <w:qFormat/>
    <w:uiPriority w:val="0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18">
    <w:name w:val="Subtitle"/>
    <w:basedOn w:val="17"/>
    <w:next w:val="3"/>
    <w:qFormat/>
    <w:uiPriority w:val="0"/>
    <w:pPr>
      <w:spacing w:before="240" w:after="240"/>
    </w:pPr>
    <w:rPr>
      <w:sz w:val="30"/>
      <w:szCs w:val="30"/>
    </w:rPr>
  </w:style>
  <w:style w:type="paragraph" w:styleId="19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customStyle="1" w:styleId="23">
    <w:name w:val="Abstract"/>
    <w:basedOn w:val="3"/>
    <w:next w:val="3"/>
    <w:qFormat/>
    <w:uiPriority w:val="0"/>
    <w:rPr>
      <w:sz w:val="16"/>
      <w:szCs w:val="16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13"/>
    <w:qFormat/>
    <w:uiPriority w:val="0"/>
    <w:pPr>
      <w:keepNext/>
    </w:pPr>
  </w:style>
  <w:style w:type="paragraph" w:customStyle="1" w:styleId="28">
    <w:name w:val="Image Caption"/>
    <w:basedOn w:val="13"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2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shd w:val="clear" w:color="auto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4">
    <w:name w:val="Keyword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qFormat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qFormat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qFormat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qFormat/>
    <w:uiPriority w:val="0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364</Words>
  <Characters>2080</Characters>
  <Lines>17</Lines>
  <Paragraphs>4</Paragraphs>
  <TotalTime>15</TotalTime>
  <ScaleCrop>false</ScaleCrop>
  <LinksUpToDate>false</LinksUpToDate>
  <CharactersWithSpaces>2440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2024-03-13T11:29:00Z</dcterms:created>
  <dc:creator>В. М. Хайтов, И. М. Нужин</dc:creator>
  <cp:lastModifiedBy>google1599737165</cp:lastModifiedBy>
  <dcterms:modified xsi:type="dcterms:W3CDTF">2024-03-13T11:34:17Z</dcterms:modified>
  <dc:title>Сообщества мидиевых банок в Вороньей губе летом 2023 г.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М., Нужин И. М. Сообщества мидиевых банок в Вороньей губе летом 2023 г.  // Толмачева Е. Л. (ред.) Летопись природы Кадалакшского заповедника за 2023 год (ежегодный отчет). Кандалакша. Т.1 (Летопись природы Кандалакшского заповедника, кн. ++) Рассматриваются данные по обилию видов, наседяющих две мидиевые банки в Вороньей губе. Проводится анализ таксномической струкутры поселения вида эдификатора (соотношение T- и E-морфотипов мидий).Khaitov V.M., Nuzhin I. M. Mussel beds’ communities in Voronya Bay in the summer of 2023. // Tolmacheva E. L. (ed.) The Chronicle of Nature by the Kandalaksha Reserve for 2023 (Annual report). Kandalaksha. V.1. (The Chronicle of Nature by the Kandalaksha Reserve, Book N ++) Data on the abundance of species inhabiting two mussel beds in Voronya Bay are reviewed. The taxonomic structure of the settlement of mussels (the ratio of T- and E-morphotypes of mussels) is analysed</vt:lpwstr>
  </property>
  <property fmtid="{D5CDD505-2E9C-101B-9397-08002B2CF9AE}" pid="3" name="output">
    <vt:lpwstr/>
  </property>
  <property fmtid="{D5CDD505-2E9C-101B-9397-08002B2CF9AE}" pid="4" name="KSOProductBuildVer">
    <vt:lpwstr>1049-12.2.0.13489</vt:lpwstr>
  </property>
  <property fmtid="{D5CDD505-2E9C-101B-9397-08002B2CF9AE}" pid="5" name="ICV">
    <vt:lpwstr>7C58535E294441C9A60EDC7FE80AAB6E_12</vt:lpwstr>
  </property>
</Properties>
</file>