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t>Учет обилия мусора на супралиторали о. Ряжкова в 2022-2023 гг.</w:t>
      </w:r>
    </w:p>
    <w:p>
      <w:pPr>
        <w:pStyle w:val="22"/>
      </w:pPr>
      <w:r>
        <w:t>В. М. Хайтов</w:t>
      </w:r>
    </w:p>
    <w:p>
      <w:pPr>
        <w:pStyle w:val="23"/>
      </w:pPr>
      <w:r>
        <w:rPr>
          <w:b/>
          <w:bCs/>
        </w:rPr>
        <w:t>Хайтов В. М. Учет обилия мусора на супралиторали о. Ряжкова в 2022-2023 гг.</w:t>
      </w:r>
      <w:r>
        <w:t xml:space="preserve"> // Толмачева Е. Л. (ред.) Летопись природы Кандалакшского заповедника за 2016 год (ежегодный отчет). Кандалакша. Т.1 (Летопись природы Кандалакшского заповедника кн. ++)</w:t>
      </w:r>
    </w:p>
    <w:p>
      <w:pPr>
        <w:pStyle w:val="23"/>
      </w:pPr>
      <w:r>
        <w:t>Проведен количественный анализ обилия антропогенного мусора на побережье о. Ряжкова.</w:t>
      </w:r>
    </w:p>
    <w:p>
      <w:pPr>
        <w:pStyle w:val="23"/>
      </w:pPr>
      <w:r>
        <w:rPr>
          <w:b/>
          <w:bCs/>
        </w:rPr>
        <w:t>Khaitov V.M. The assessment of litter on the Ryazhkov island shore-line in 2022-2023</w:t>
      </w:r>
      <w:r>
        <w:t xml:space="preserve"> // Tolmacheva E. L. (ed.) The Chronicle of Nature by the Kandalaksha Reserve for 2016 (Annual report). Kandalaksha. V.1. (The Chronicle of Nature by the Kandalaksha Reserve Book N ++)</w:t>
      </w:r>
    </w:p>
    <w:p>
      <w:pPr>
        <w:pStyle w:val="23"/>
      </w:pPr>
      <w:r>
        <w:t>The results of quantitative analysis of litter presented on shore of Ryazhkov island are presented.</w:t>
      </w:r>
    </w:p>
    <w:p>
      <w:pPr>
        <w:pStyle w:val="20"/>
      </w:pPr>
      <w:r>
        <w:t>Учет мусора производился в полосе штормовых выбросов. При этом отмечались все предметы заметные без разрушения слоя выбросов. Единицей учета были отдельные предметы или их части представленные в выбросах как единое целое. Координаты точки начала учета засекалась с помощью GPS-навигатора. Исходные данные по учету предметов антропогенного происхождения за 2022-2023 гг приведены в таблице +.1. Данные по обилию мусора в 2008-2019 гг были приведены в Летописи природы за 2016 и 2019 гг.</w:t>
      </w:r>
    </w:p>
    <w:p>
      <w:pPr>
        <w:pStyle w:val="3"/>
      </w:pPr>
      <w:r>
        <w:t>Как показали анализы проведенные в предыдущие годы наиболее объективным показателем отражающим обилие мусора является количество пластиковых бутылок. Обилие этих предметов можно рассматривать как маркер обилия мусора. В таблице +.2 приведены данные по суммарному количеству пластиковых бутылок и прочего антропогенного мусора на побережье о. Ряжкова. График (Рисунок 1) отражающий межгодовые изменения общего количества пластиковых бутылок и прочих предметов обнаруженных на побережье о. Ряжкова не демонстрирует явных многолетних тенденций. В последние годы эти величины поддерживаются на более или менее одинаковом уровне.</w:t>
      </w:r>
    </w:p>
    <w:p>
      <w:pPr>
        <w:pStyle w:val="3"/>
      </w:pPr>
      <w:r>
        <w:t>Для анализа пространственного распределения мусора по побережью о. Ряжкова были построены карты (Рисунок 2) на которых нанесены участки учета мусора и приведены данные по обилию пластиковых бутылок. Можно заметить что год от года паттерн распределения обилия пластиковых бутылок изменяется. Наибольшее количество пластиковых бутылок наблюдалось в Северо-Западной части острова и в Фукусовой губе (Юго-Восточная часть).</w:t>
      </w:r>
    </w:p>
    <w:p>
      <w:r>
        <w:br w:type="page"/>
      </w:r>
    </w:p>
    <w:p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/>
        <w:jc w:val="center"/>
      </w:pPr>
      <w:r>
        <w:t>Таблица +.1  Количество предметов антропогенного мусора найденных на разных станциях на побережье о. Ряжкова в 2022-2023 гг. Number of antropogenic items found on the stations on Ryazhkov island shore in 2022-2023.</w:t>
      </w:r>
    </w:p>
    <w:tbl>
      <w:tblPr>
        <w:tblStyle w:val="10"/>
        <w:tblW w:w="1064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89"/>
        <w:gridCol w:w="986"/>
        <w:gridCol w:w="871"/>
        <w:gridCol w:w="809"/>
        <w:gridCol w:w="898"/>
        <w:gridCol w:w="600"/>
        <w:gridCol w:w="907"/>
        <w:gridCol w:w="573"/>
        <w:gridCol w:w="627"/>
        <w:gridCol w:w="933"/>
        <w:gridCol w:w="676"/>
        <w:gridCol w:w="737"/>
        <w:gridCol w:w="6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W w:w="534" w:type="dxa"/>
            <w:tcBorders>
              <w:top w:val="single" w:color="666666" w:sz="12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8"/>
                <w:szCs w:val="18"/>
                <w:u w:val="none"/>
              </w:rPr>
              <w:t>Год</w:t>
            </w:r>
          </w:p>
        </w:tc>
        <w:tc>
          <w:tcPr>
            <w:tcW w:w="889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Широта</w:t>
            </w:r>
          </w:p>
        </w:tc>
        <w:tc>
          <w:tcPr>
            <w:tcW w:w="986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Долгота</w:t>
            </w:r>
          </w:p>
        </w:tc>
        <w:tc>
          <w:tcPr>
            <w:tcW w:w="871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Плас</w:t>
            </w: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  <w:lang w:val="ru-RU"/>
              </w:rPr>
              <w:t>-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тиковые предме</w:t>
            </w: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  <w:lang w:val="ru-RU"/>
              </w:rPr>
              <w:t>-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ты</w:t>
            </w:r>
          </w:p>
        </w:tc>
        <w:tc>
          <w:tcPr>
            <w:tcW w:w="809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Плас</w:t>
            </w: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  <w:lang w:val="ru-RU"/>
              </w:rPr>
              <w:t>-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тико</w:t>
            </w: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  <w:lang w:val="ru-RU"/>
              </w:rPr>
              <w:t>-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вые бутыл</w:t>
            </w: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  <w:lang w:val="ru-RU"/>
              </w:rPr>
              <w:t>-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ки</w:t>
            </w:r>
          </w:p>
        </w:tc>
        <w:tc>
          <w:tcPr>
            <w:tcW w:w="898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Стекло</w:t>
            </w:r>
          </w:p>
        </w:tc>
        <w:tc>
          <w:tcPr>
            <w:tcW w:w="600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По</w:t>
            </w: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  <w:lang w:val="ru-RU"/>
              </w:rPr>
              <w:t>-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лиэтилен</w:t>
            </w:r>
          </w:p>
        </w:tc>
        <w:tc>
          <w:tcPr>
            <w:tcW w:w="907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Резино</w:t>
            </w: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  <w:lang w:val="ru-RU"/>
              </w:rPr>
              <w:t>-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вые предме</w:t>
            </w: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  <w:lang w:val="ru-RU"/>
              </w:rPr>
              <w:t>-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ты</w:t>
            </w:r>
          </w:p>
        </w:tc>
        <w:tc>
          <w:tcPr>
            <w:tcW w:w="573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Бу</w:t>
            </w: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  <w:lang w:val="ru-RU"/>
              </w:rPr>
              <w:t>-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мага</w:t>
            </w:r>
          </w:p>
        </w:tc>
        <w:tc>
          <w:tcPr>
            <w:tcW w:w="627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Ме</w:t>
            </w: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  <w:lang w:val="ru-RU"/>
              </w:rPr>
              <w:t>-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талл</w:t>
            </w:r>
          </w:p>
        </w:tc>
        <w:tc>
          <w:tcPr>
            <w:tcW w:w="933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Консерв</w:t>
            </w: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  <w:lang w:val="ru-RU"/>
              </w:rPr>
              <w:t>-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ные банки</w:t>
            </w:r>
          </w:p>
        </w:tc>
        <w:tc>
          <w:tcPr>
            <w:tcW w:w="676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Пред</w:t>
            </w: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  <w:lang w:val="ru-RU"/>
              </w:rPr>
              <w:t>-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меты одеж</w:t>
            </w: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  <w:lang w:val="ru-RU"/>
              </w:rPr>
              <w:t>-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ды</w:t>
            </w:r>
          </w:p>
        </w:tc>
        <w:tc>
          <w:tcPr>
            <w:tcW w:w="737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Пено</w:t>
            </w: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  <w:lang w:val="ru-RU"/>
              </w:rPr>
              <w:t>-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пласт</w:t>
            </w:r>
          </w:p>
        </w:tc>
        <w:tc>
          <w:tcPr>
            <w:tcW w:w="603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/>
                <w:lang w:val="ru-RU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Проч</w:t>
            </w: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  <w:lang w:val="ru-RU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666666" w:sz="12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67.00738</w:t>
            </w:r>
          </w:p>
        </w:tc>
        <w:tc>
          <w:tcPr>
            <w:tcW w:w="986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32.57737</w:t>
            </w:r>
          </w:p>
        </w:tc>
        <w:tc>
          <w:tcPr>
            <w:tcW w:w="871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907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67.00715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32.57880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67.00780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32.58025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67.00817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32.58135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67.00855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32.58310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58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67.00833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32.58463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23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67.00775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32.58585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67.00813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32.58760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67.00872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32.58818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67.00962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32.58833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67.01025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32.58825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67.01067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32.58838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67.01120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32.58783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67.01167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32.58703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67.01235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32.58655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67.01285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32.58543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67.01368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32.58478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67.01443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32.58437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67.01480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32.58392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67.01555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32.58277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67.01602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32.58070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67.01637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32.57943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67.01700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32.57812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67.01807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32.57775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67.01910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32.57645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67.01935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32.57487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67.01948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32.57332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67.01978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32.57033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67.02042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32.56938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67.02145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32.56832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67.02188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32.56800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67.02315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32.56772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67.02417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32.56668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67.02472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32.56663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67.02512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32.56588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67.02567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32.56435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67.02622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32.56252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67.02682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32.56087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67.02745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32.56110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67.02792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32.55805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67.02852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32.55677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67.02920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32.55585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67.02977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32.55483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67.03032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32.55320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67.03093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32.55158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67.03148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32.54852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67.03195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32.54648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67.03195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32.54502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67.03172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32.54328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67.03103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32.54138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67.03075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32.53993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67.02993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32.54028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67.02908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32.54038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67.02763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32.54105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67.02713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32.54153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67.02638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32.54190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67.02557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32.54203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67.02440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32.54240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67.02402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32.54305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49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67.02443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32.54157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67.02492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32.53963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67.02553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32.53850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67.02632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32.53752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67.02700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32.53642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67.02742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32.53432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67.02800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32.53280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67.02827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32.53072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67.02750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32.53002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67.02698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32.53027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67.02610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32.53052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67.02525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32.53022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67.02438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32.53013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67.02363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32.52987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67.02272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32.52955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67.02198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32.53015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67.02142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32.52970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67.02068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32.53023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67.01992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32.53113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67.01897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32.53238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67.01787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32.53477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67.01718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32.53517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67.01655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32.53638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67.01587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32.53787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67.01510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32.53878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67.01435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32.53985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67.01370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32.54107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67.01310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32.54282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67.01247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32.54435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67.01188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32.54603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67.01127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32.54757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67.01060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32.54873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67.00967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32.55113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67.00883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32.55353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67.00828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32.55525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67.00765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32.55638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67.00705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32.55790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67.00647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32.55890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67.00608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32.56023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67.00547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32.56158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67.00487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32.56368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67.00422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32.56493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67.00425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32.56822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67.00395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32.57027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67.00362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32.57215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67.00373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32.57345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67.00390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32.57445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67.00470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32.57405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67.00525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32.57292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67.00648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32.57013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67.00787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32.56977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67.00840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32.56890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67.00923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32.56888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67.00953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32.57040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67.00947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32.57145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67.00932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32.57243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29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67.00885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32.57447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67.00850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32.57560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2022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67.00805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32.57600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67.00738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32.57737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67.00715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32.57880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67.00780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32.58025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67.00817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32.58135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67.00855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32.58310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67.00833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32.58463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67.00775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32.58585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67.00813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32.58760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67.00872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32.58818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67.00962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32.58833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67.01025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32.58825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67.01067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32.58838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67.01120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32.58783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67.01167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32.58703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67.01235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32.58655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67.01285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32.58543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67.01368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32.58478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67.01443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32.58437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67.01480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32.58392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67.01555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32.58277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67.01602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32.58070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67.01637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32.57943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67.01700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32.57812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67.01807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32.57775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67.01910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32.57645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67.01935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32.57487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67.01948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32.57332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67.01978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32.57033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67.02042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32.56938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67.02145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32.56832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67.02188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32.56800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67.02315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32.56772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67.02417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32.56668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67.02472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32.56663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67.02512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32.56588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67.02567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32.56435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67.02622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32.56252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67.02682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32.56087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67.02745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32.56110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67.02792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32.55805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67.02852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32.55677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67.02920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32.55585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67.02977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32.55483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67.03032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32.55320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67.03093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32.55158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67.03148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32.54852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67.03195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32.54648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67.03195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32.54502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67.03172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32.54328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67.03103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32.54138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67.03075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32.53993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67.02993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32.54028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67.02908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32.54038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67.02763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32.54105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67.02713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32.54153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67.02638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32.54190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67.02557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32.54203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67.02440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32.54240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67.02402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32.54305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67.02443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32.54157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67.02492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32.53963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67.02553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32.53850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67.02632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32.53752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67.02700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32.53642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67.02742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32.53432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67.02800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32.53280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67.02827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32.53072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67.02750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32.53002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67.02698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32.53027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67.02610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32.53052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67.02525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32.53022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67.02438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32.53013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67.02363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32.52987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67.02272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32.52955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67.02198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32.53015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67.02142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32.52970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67.02068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32.53023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67.01992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32.53113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67.01897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32.53238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67.01787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32.53477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67.01718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32.53517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67.01655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32.53638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67.01587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32.53787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67.01510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32.53878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67.01435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32.53985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67.01370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32.54107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67.01310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32.54282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67.01247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32.54435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67.01188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32.54603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67.01127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32.54757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67.01060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32.54873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67.00967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32.55113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67.00883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32.55353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67.00828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32.55525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67.00765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32.55638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67.00705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32.55790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67.00647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32.55890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67.00608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32.56023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67.00547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32.56158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67.00487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32.56368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67.00422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32.56493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67.00425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32.56822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67.00395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32.57027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67.00362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32.57215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67.00373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32.57345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67.00390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32.57445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67.00470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32.57405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67.00525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32.57292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67.00648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32.57013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67.00787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32.56977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67.00840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32.56890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67.00923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32.56888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67.00953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32.57040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67.00947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32.57145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67.00932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32.57243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67.00885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32.57447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67.00850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32.57560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34" w:type="dxa"/>
            <w:tcBorders>
              <w:top w:val="single" w:color="BEBEBE" w:sz="8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1"/>
                <w:szCs w:val="11"/>
                <w:u w:val="none"/>
              </w:rPr>
              <w:t>2023</w:t>
            </w:r>
          </w:p>
        </w:tc>
        <w:tc>
          <w:tcPr>
            <w:tcW w:w="889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67.00805</w:t>
            </w:r>
          </w:p>
        </w:tc>
        <w:tc>
          <w:tcPr>
            <w:tcW w:w="986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32.57600</w:t>
            </w:r>
          </w:p>
        </w:tc>
        <w:tc>
          <w:tcPr>
            <w:tcW w:w="871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09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898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0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07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573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27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933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76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737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603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</w:tbl>
    <w:p>
      <w:r>
        <w:br w:type="page"/>
      </w:r>
    </w:p>
    <w:p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/>
        <w:jc w:val="center"/>
      </w:pPr>
      <w:r>
        <w:t>Таблица +.2 Общее количество единиц мусора и общее количество пластиковых бутылок обнаруженных на побережье о. Ряжкова в разные годы. Total litter amount and number of  plastic botles found on the shore of Ryazhkov island in different years.</w:t>
      </w:r>
    </w:p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2927"/>
        <w:gridCol w:w="40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Год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Количество пластиковых бутылок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Общее количество единиц мусора (без бутылок)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2008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447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2009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541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2323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2019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2022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2023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113</w:t>
            </w:r>
          </w:p>
        </w:tc>
      </w:tr>
    </w:tbl>
    <w:p>
      <w:r>
        <w:br w:type="page"/>
      </w:r>
    </w:p>
    <w:p>
      <w:r>
        <w:drawing>
          <wp:inline distT="0" distB="0" distL="114300" distR="114300">
            <wp:extent cx="4587240" cy="4587240"/>
            <wp:effectExtent l="0" t="0" r="0" b="0"/>
            <wp:docPr id="21" name="Picture" descr="Рисунок 1. Общее количество единиц мусора и количество пластиковых бутылок, обнаруженных на побережье о. Ряжкова в разные годы (приведена линия тренда). Total litter amount and number of plastic botles found on the shore of Ryazhkov island in different years (trend line is provid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Рисунок 1. Общее количество единиц мусора и количество пластиковых бутылок, обнаруженных на побережье о. Ряжкова в разные годы (приведена линия тренда). Total litter amount and number of plastic botles found on the shore of Ryazhkov island in different years (trend line is provided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  <w:r>
        <w:rPr>
          <w:b/>
          <w:bCs/>
        </w:rPr>
        <w:t>Рисунок 1.</w:t>
      </w:r>
      <w:r>
        <w:t xml:space="preserve"> Общее количество единиц мусора и количество пластиковых бутылок обнаруженных на побережье о. Ряжкова в разные годы (приведена линия тренда). Total litter amount and number of plastic botles found on the shore of Ryazhkov island in different years (trend line is provided)</w:t>
      </w:r>
    </w:p>
    <w:p>
      <w:r>
        <w:br w:type="page"/>
      </w:r>
    </w:p>
    <w:p>
      <w:r>
        <w:drawing>
          <wp:inline distT="0" distB="0" distL="114300" distR="114300">
            <wp:extent cx="5435600" cy="3790950"/>
            <wp:effectExtent l="0" t="0" r="5080" b="3810"/>
            <wp:docPr id="24" name="Picture" descr="Рисунок 2. Распределение пластиковых бутылок на побережье о. Ряжкова в 2022-2023 гг. Patten of plastic botles distribution on the shore of Ryazhkov island шт 2022-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Рисунок 2. Распределение пластиковых бутылок на побережье о. Ряжкова в 2022-2023 гг. Patten of plastic botles distribution on the shore of Ryazhkov island шт 2022-20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6030" b="14230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8"/>
      </w:pPr>
      <w:r>
        <w:rPr>
          <w:b/>
          <w:bCs/>
        </w:rPr>
        <w:t>Рисунок 2.</w:t>
      </w:r>
      <w:r>
        <w:t xml:space="preserve"> Распределение пластиковых бутылок на побережье о. Ряжкова в 2022-2023 гг. Patten of plastic botles distribution on the shore of Ryazhkov island шт 2022-2023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51D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  <w:ind w:firstLine="720"/>
      <w:jc w:val="both"/>
    </w:pPr>
    <w:rPr>
      <w:rFonts w:ascii="Times New Roman" w:hAnsi="Times New Roman" w:cs="Times New Roman"/>
      <w:sz w:val="20"/>
      <w:szCs w:val="20"/>
      <w:lang w:val="ru-RU"/>
    </w:rPr>
  </w:style>
  <w:style w:type="character" w:styleId="11">
    <w:name w:val="footnote reference"/>
    <w:basedOn w:val="12"/>
    <w:qFormat/>
    <w:uiPriority w:val="0"/>
    <w:rPr>
      <w:vertAlign w:val="superscript"/>
    </w:rPr>
  </w:style>
  <w:style w:type="character" w:customStyle="1" w:styleId="12">
    <w:name w:val="Название объекта Знак"/>
    <w:basedOn w:val="9"/>
    <w:link w:val="13"/>
    <w:qFormat/>
    <w:uiPriority w:val="0"/>
  </w:style>
  <w:style w:type="paragraph" w:styleId="13">
    <w:name w:val="caption"/>
    <w:basedOn w:val="1"/>
    <w:next w:val="1"/>
    <w:link w:val="12"/>
    <w:qFormat/>
    <w:uiPriority w:val="0"/>
    <w:pPr>
      <w:spacing w:after="120"/>
    </w:pPr>
    <w:rPr>
      <w:i/>
    </w:rPr>
  </w:style>
  <w:style w:type="character" w:styleId="14">
    <w:name w:val="Hyperlink"/>
    <w:basedOn w:val="12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7">
    <w:name w:val="Title"/>
    <w:basedOn w:val="4"/>
    <w:next w:val="3"/>
    <w:qFormat/>
    <w:uiPriority w:val="0"/>
    <w:pPr>
      <w:jc w:val="center"/>
    </w:pPr>
    <w:rPr>
      <w:rFonts w:ascii="Times New Roman" w:hAnsi="Times New Roman" w:cs="Times New Roman"/>
      <w:caps/>
      <w:color w:val="auto"/>
      <w:sz w:val="20"/>
      <w:szCs w:val="20"/>
      <w:lang w:val="ru-RU"/>
    </w:rPr>
  </w:style>
  <w:style w:type="paragraph" w:styleId="18">
    <w:name w:val="Subtitle"/>
    <w:basedOn w:val="17"/>
    <w:next w:val="3"/>
    <w:qFormat/>
    <w:uiPriority w:val="0"/>
    <w:pPr>
      <w:spacing w:before="240" w:after="240"/>
    </w:pPr>
    <w:rPr>
      <w:sz w:val="30"/>
      <w:szCs w:val="30"/>
    </w:rPr>
  </w:style>
  <w:style w:type="paragraph" w:styleId="19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  <w:ind w:firstLine="0"/>
      <w:jc w:val="left"/>
    </w:pPr>
    <w:rPr>
      <w:sz w:val="16"/>
      <w:szCs w:val="16"/>
    </w:r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0"/>
      <w:szCs w:val="20"/>
      <w:lang w:val="ru-RU" w:eastAsia="en-US" w:bidi="ar-SA"/>
    </w:rPr>
  </w:style>
  <w:style w:type="paragraph" w:customStyle="1" w:styleId="23">
    <w:name w:val="Abstract"/>
    <w:basedOn w:val="3"/>
    <w:next w:val="3"/>
    <w:qFormat/>
    <w:uiPriority w:val="0"/>
    <w:rPr>
      <w:sz w:val="16"/>
      <w:szCs w:val="16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qFormat/>
    <w:uiPriority w:val="0"/>
  </w:style>
  <w:style w:type="paragraph" w:customStyle="1" w:styleId="27">
    <w:name w:val="Table Caption"/>
    <w:basedOn w:val="13"/>
    <w:qFormat/>
    <w:uiPriority w:val="0"/>
    <w:pPr>
      <w:keepNext/>
    </w:pPr>
  </w:style>
  <w:style w:type="paragraph" w:customStyle="1" w:styleId="28">
    <w:name w:val="Image Caption"/>
    <w:basedOn w:val="13"/>
    <w:qFormat/>
    <w:uiPriority w:val="0"/>
  </w:style>
  <w:style w:type="paragraph" w:customStyle="1" w:styleId="29">
    <w:name w:val="Figure"/>
    <w:basedOn w:val="1"/>
    <w:qFormat/>
    <w:uiPriority w:val="0"/>
  </w:style>
  <w:style w:type="paragraph" w:customStyle="1" w:styleId="30">
    <w:name w:val="Figure with Caption"/>
    <w:basedOn w:val="29"/>
    <w:qFormat/>
    <w:uiPriority w:val="0"/>
    <w:pPr>
      <w:keepNext/>
    </w:pPr>
  </w:style>
  <w:style w:type="character" w:customStyle="1" w:styleId="31">
    <w:name w:val="Verbatim Char"/>
    <w:basedOn w:val="12"/>
    <w:link w:val="32"/>
    <w:qFormat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qFormat/>
    <w:uiPriority w:val="0"/>
    <w:pPr>
      <w:shd w:val="clear" w:color="auto" w:fill="F8F8F8"/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34">
    <w:name w:val="KeywordTok"/>
    <w:basedOn w:val="31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35">
    <w:name w:val="DataTypeTok"/>
    <w:basedOn w:val="31"/>
    <w:qFormat/>
    <w:uiPriority w:val="0"/>
    <w:rPr>
      <w:rFonts w:ascii="Consolas" w:hAnsi="Consolas"/>
      <w:color w:val="204A87"/>
      <w:sz w:val="22"/>
      <w:shd w:val="clear" w:color="auto" w:fill="F8F8F8"/>
    </w:rPr>
  </w:style>
  <w:style w:type="character" w:customStyle="1" w:styleId="36">
    <w:name w:val="DecValTok"/>
    <w:basedOn w:val="31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7">
    <w:name w:val="BaseNTok"/>
    <w:basedOn w:val="31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8">
    <w:name w:val="FloatTok"/>
    <w:basedOn w:val="31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9">
    <w:name w:val="Constant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0">
    <w:name w:val="Char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1">
    <w:name w:val="SpecialCharTok"/>
    <w:basedOn w:val="31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2">
    <w:name w:val="String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3">
    <w:name w:val="VerbatimString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4">
    <w:name w:val="SpecialString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5">
    <w:name w:val="Import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46">
    <w:name w:val="CommentTok"/>
    <w:basedOn w:val="31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47">
    <w:name w:val="Documentation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8">
    <w:name w:val="Annotation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9">
    <w:name w:val="CommentVar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0">
    <w:name w:val="OtherTok"/>
    <w:basedOn w:val="31"/>
    <w:qFormat/>
    <w:uiPriority w:val="0"/>
    <w:rPr>
      <w:rFonts w:ascii="Consolas" w:hAnsi="Consolas"/>
      <w:color w:val="8F5902"/>
      <w:sz w:val="22"/>
      <w:shd w:val="clear" w:color="auto" w:fill="F8F8F8"/>
    </w:rPr>
  </w:style>
  <w:style w:type="character" w:customStyle="1" w:styleId="51">
    <w:name w:val="FunctionTok"/>
    <w:basedOn w:val="31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2">
    <w:name w:val="VariableTok"/>
    <w:basedOn w:val="31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3">
    <w:name w:val="ControlFlowTok"/>
    <w:basedOn w:val="31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54">
    <w:name w:val="OperatorTok"/>
    <w:basedOn w:val="31"/>
    <w:qFormat/>
    <w:uiPriority w:val="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55">
    <w:name w:val="BuiltIn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56">
    <w:name w:val="Extension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57">
    <w:name w:val="PreprocessorTok"/>
    <w:basedOn w:val="31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58">
    <w:name w:val="AttributeTok"/>
    <w:basedOn w:val="31"/>
    <w:qFormat/>
    <w:uiPriority w:val="0"/>
    <w:rPr>
      <w:rFonts w:ascii="Consolas" w:hAnsi="Consolas"/>
      <w:color w:val="C4A000"/>
      <w:sz w:val="22"/>
      <w:shd w:val="clear" w:color="auto" w:fill="F8F8F8"/>
    </w:rPr>
  </w:style>
  <w:style w:type="character" w:customStyle="1" w:styleId="59">
    <w:name w:val="RegionMarker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60">
    <w:name w:val="Information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1">
    <w:name w:val="Warning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2">
    <w:name w:val="AlertTok"/>
    <w:basedOn w:val="31"/>
    <w:qFormat/>
    <w:uiPriority w:val="0"/>
    <w:rPr>
      <w:rFonts w:ascii="Consolas" w:hAnsi="Consolas"/>
      <w:color w:val="EF2929"/>
      <w:sz w:val="22"/>
      <w:shd w:val="clear" w:color="auto" w:fill="F8F8F8"/>
    </w:rPr>
  </w:style>
  <w:style w:type="character" w:customStyle="1" w:styleId="63">
    <w:name w:val="ErrorTok"/>
    <w:basedOn w:val="31"/>
    <w:qFormat/>
    <w:uiPriority w:val="0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64">
    <w:name w:val="NormalTok"/>
    <w:basedOn w:val="31"/>
    <w:qFormat/>
    <w:uiPriority w:val="0"/>
    <w:rPr>
      <w:rFonts w:ascii="Consolas" w:hAnsi="Consolas"/>
      <w:sz w:val="22"/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364</Words>
  <Characters>2080</Characters>
  <Lines>17</Lines>
  <Paragraphs>4</Paragraphs>
  <TotalTime>21</TotalTime>
  <ScaleCrop>false</ScaleCrop>
  <LinksUpToDate>false</LinksUpToDate>
  <CharactersWithSpaces>2440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2024-03-13T13:04:00Z</dcterms:created>
  <dc:creator>В. М. Хайтов</dc:creator>
  <cp:lastModifiedBy>google1599737165</cp:lastModifiedBy>
  <dcterms:modified xsi:type="dcterms:W3CDTF">2024-03-13T13:15:18Z</dcterms:modified>
  <dc:title>Учет обилия мусора на супралиторали о. Ряжкова в 2022-2023 гг.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Хайтов В. М. Учет обилия мусора на супралиторали о. Ряжкова в 2022-2023 гг. // Толмачева Е. Л. (ред.) Летопись природы Кандалакшского заповедника за 2016 год (ежегодный отчет). Кандалакша. Т.1 (Летопись природы Кандалакшского заповедника, кн. ++)Проведен количественный анализ обилия антропогенного мусора на побережье о. Ряжкова.Khaitov V.M. The assessment of litter on the Ryazhkov island shore-line in 2022-2023 // Tolmacheva E. L. (ed.) The Chronicle of Nature by the Kandalaksha Reserve for 2016 (Annual report). Kandalaksha. V.1. (The Chronicle of Nature by the Kandalaksha Reserve, Book N ++)The results of quantitative analysis of litter presented on shore of Ryazhkov island are presented.</vt:lpwstr>
  </property>
  <property fmtid="{D5CDD505-2E9C-101B-9397-08002B2CF9AE}" pid="3" name="output">
    <vt:lpwstr/>
  </property>
  <property fmtid="{D5CDD505-2E9C-101B-9397-08002B2CF9AE}" pid="4" name="KSOProductBuildVer">
    <vt:lpwstr>1049-12.2.0.13489</vt:lpwstr>
  </property>
  <property fmtid="{D5CDD505-2E9C-101B-9397-08002B2CF9AE}" pid="5" name="ICV">
    <vt:lpwstr>445C61C8EA9D448F8F7FEEBFDCB4D073_12</vt:lpwstr>
  </property>
</Properties>
</file>