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2ADA" w:rsidRDefault="00E939D4">
      <w:pPr>
        <w:pStyle w:val="aa"/>
      </w:pPr>
      <w:r>
        <w:t>ХАРАКТЕРИСТИКА ПОПУЛЯЦИИ SEMIBALANUS BALANOIDES НА ЛИТОРАЛИ ОСТРОВА РЯЖКОВА ЛЕТОМ 2024 Г.</w:t>
      </w:r>
    </w:p>
    <w:p w:rsidR="00992ADA" w:rsidRPr="008E79F9" w:rsidRDefault="00E939D4" w:rsidP="008E79F9">
      <w:pPr>
        <w:pStyle w:val="Author"/>
      </w:pPr>
      <w:r>
        <w:t>В. М. Хайтов</w:t>
      </w:r>
      <w:bookmarkStart w:id="0" w:name="_GoBack"/>
      <w:bookmarkEnd w:id="0"/>
    </w:p>
    <w:p w:rsidR="00992ADA" w:rsidRDefault="00E939D4">
      <w:pPr>
        <w:pStyle w:val="Abstract"/>
      </w:pPr>
      <w:r>
        <w:rPr>
          <w:b/>
          <w:bCs/>
        </w:rPr>
        <w:t>Х</w:t>
      </w:r>
      <w:r>
        <w:rPr>
          <w:b/>
          <w:bCs/>
        </w:rPr>
        <w:t>айтов В. М. Характеристика популяции Semibalanus balanoides на литорали острова Ряжкова летом 2024 г.</w:t>
      </w:r>
      <w:r>
        <w:t xml:space="preserve"> // Толмачева Е. Л. (ред.) Летопись </w:t>
      </w:r>
      <w:r>
        <w:t>природы Кадалакшского заповедника за 2024 год (ежегодный отчет). Кандалакша. Т.1 (Летопись природы Кандалакшского заповедника, кн. ++) Рассматриваются данные по учету обилия сеголеток и взрослых балянусов на литоральных валунах летом 2024 г.</w:t>
      </w:r>
    </w:p>
    <w:p w:rsidR="00992ADA" w:rsidRPr="008E79F9" w:rsidRDefault="00E939D4">
      <w:pPr>
        <w:pStyle w:val="Abstract"/>
        <w:rPr>
          <w:lang w:val="en-US"/>
        </w:rPr>
      </w:pPr>
      <w:proofErr w:type="spellStart"/>
      <w:r w:rsidRPr="008E79F9">
        <w:rPr>
          <w:b/>
          <w:bCs/>
          <w:lang w:val="en-US"/>
        </w:rPr>
        <w:t>Khaitov</w:t>
      </w:r>
      <w:proofErr w:type="spellEnd"/>
      <w:r w:rsidRPr="008E79F9">
        <w:rPr>
          <w:b/>
          <w:bCs/>
          <w:lang w:val="en-US"/>
        </w:rPr>
        <w:t xml:space="preserve"> V.M. C</w:t>
      </w:r>
      <w:r w:rsidRPr="008E79F9">
        <w:rPr>
          <w:b/>
          <w:bCs/>
          <w:lang w:val="en-US"/>
        </w:rPr>
        <w:t xml:space="preserve">haracterization of the population of </w:t>
      </w:r>
      <w:proofErr w:type="spellStart"/>
      <w:r w:rsidRPr="008E79F9">
        <w:rPr>
          <w:b/>
          <w:bCs/>
          <w:lang w:val="en-US"/>
        </w:rPr>
        <w:t>Semibalanus</w:t>
      </w:r>
      <w:proofErr w:type="spellEnd"/>
      <w:r w:rsidRPr="008E79F9">
        <w:rPr>
          <w:b/>
          <w:bCs/>
          <w:lang w:val="en-US"/>
        </w:rPr>
        <w:t xml:space="preserve"> </w:t>
      </w:r>
      <w:proofErr w:type="spellStart"/>
      <w:r w:rsidRPr="008E79F9">
        <w:rPr>
          <w:b/>
          <w:bCs/>
          <w:lang w:val="en-US"/>
        </w:rPr>
        <w:t>balanoides</w:t>
      </w:r>
      <w:proofErr w:type="spellEnd"/>
      <w:r w:rsidRPr="008E79F9">
        <w:rPr>
          <w:b/>
          <w:bCs/>
          <w:lang w:val="en-US"/>
        </w:rPr>
        <w:t xml:space="preserve"> on the littoral of </w:t>
      </w:r>
      <w:proofErr w:type="spellStart"/>
      <w:r w:rsidRPr="008E79F9">
        <w:rPr>
          <w:b/>
          <w:bCs/>
          <w:lang w:val="en-US"/>
        </w:rPr>
        <w:t>Ryazhkov</w:t>
      </w:r>
      <w:proofErr w:type="spellEnd"/>
      <w:r w:rsidRPr="008E79F9">
        <w:rPr>
          <w:b/>
          <w:bCs/>
          <w:lang w:val="en-US"/>
        </w:rPr>
        <w:t xml:space="preserve"> Island in the summer of 2024.</w:t>
      </w:r>
      <w:r w:rsidRPr="008E79F9">
        <w:rPr>
          <w:lang w:val="en-US"/>
        </w:rPr>
        <w:t xml:space="preserve"> // </w:t>
      </w:r>
      <w:proofErr w:type="spellStart"/>
      <w:r w:rsidRPr="008E79F9">
        <w:rPr>
          <w:lang w:val="en-US"/>
        </w:rPr>
        <w:t>Tolmacheva</w:t>
      </w:r>
      <w:proofErr w:type="spellEnd"/>
      <w:r w:rsidRPr="008E79F9">
        <w:rPr>
          <w:lang w:val="en-US"/>
        </w:rPr>
        <w:t xml:space="preserve"> E. L. (ed.) The Chronicle of Nature by the </w:t>
      </w:r>
      <w:proofErr w:type="spellStart"/>
      <w:r w:rsidRPr="008E79F9">
        <w:rPr>
          <w:lang w:val="en-US"/>
        </w:rPr>
        <w:t>Kandalaksha</w:t>
      </w:r>
      <w:proofErr w:type="spellEnd"/>
      <w:r w:rsidRPr="008E79F9">
        <w:rPr>
          <w:lang w:val="en-US"/>
        </w:rPr>
        <w:t xml:space="preserve"> Reserve for 2024 (Annual report). </w:t>
      </w:r>
      <w:proofErr w:type="spellStart"/>
      <w:r w:rsidRPr="008E79F9">
        <w:rPr>
          <w:lang w:val="en-US"/>
        </w:rPr>
        <w:t>Kandalaksha</w:t>
      </w:r>
      <w:proofErr w:type="spellEnd"/>
      <w:r w:rsidRPr="008E79F9">
        <w:rPr>
          <w:lang w:val="en-US"/>
        </w:rPr>
        <w:t>. V.1. (The Chronicle of</w:t>
      </w:r>
      <w:r w:rsidRPr="008E79F9">
        <w:rPr>
          <w:lang w:val="en-US"/>
        </w:rPr>
        <w:t xml:space="preserve"> Nature by the </w:t>
      </w:r>
      <w:proofErr w:type="spellStart"/>
      <w:r w:rsidRPr="008E79F9">
        <w:rPr>
          <w:lang w:val="en-US"/>
        </w:rPr>
        <w:t>Kandalaksha</w:t>
      </w:r>
      <w:proofErr w:type="spellEnd"/>
      <w:r w:rsidRPr="008E79F9">
        <w:rPr>
          <w:lang w:val="en-US"/>
        </w:rPr>
        <w:t xml:space="preserve"> Reserve, Book N ++)</w:t>
      </w:r>
    </w:p>
    <w:p w:rsidR="00992ADA" w:rsidRPr="008E79F9" w:rsidRDefault="00E939D4">
      <w:pPr>
        <w:pStyle w:val="Abstract"/>
        <w:rPr>
          <w:lang w:val="en-US"/>
        </w:rPr>
      </w:pPr>
      <w:proofErr w:type="spellStart"/>
      <w:r w:rsidRPr="008E79F9">
        <w:rPr>
          <w:lang w:val="en-US"/>
        </w:rPr>
        <w:t>DData</w:t>
      </w:r>
      <w:proofErr w:type="spellEnd"/>
      <w:r w:rsidRPr="008E79F9">
        <w:rPr>
          <w:lang w:val="en-US"/>
        </w:rPr>
        <w:t xml:space="preserve"> on abundance counts of juveniles and adult barnacle on littoral boulders in the summer of 2024 are reviewed.</w:t>
      </w:r>
    </w:p>
    <w:p w:rsidR="00992ADA" w:rsidRPr="008E79F9" w:rsidRDefault="00E939D4">
      <w:pPr>
        <w:pStyle w:val="2"/>
        <w:rPr>
          <w:lang w:val="ru-RU"/>
        </w:rPr>
      </w:pPr>
      <w:bookmarkStart w:id="1" w:name="методика-учета-балянусов"/>
      <w:r w:rsidRPr="008E79F9">
        <w:rPr>
          <w:lang w:val="ru-RU"/>
        </w:rPr>
        <w:t xml:space="preserve">Методика учета </w:t>
      </w:r>
      <w:proofErr w:type="spellStart"/>
      <w:r w:rsidRPr="008E79F9">
        <w:rPr>
          <w:lang w:val="ru-RU"/>
        </w:rPr>
        <w:t>балянусов</w:t>
      </w:r>
      <w:proofErr w:type="spellEnd"/>
    </w:p>
    <w:p w:rsidR="00992ADA" w:rsidRDefault="00E939D4">
      <w:pPr>
        <w:pStyle w:val="FirstParagraph"/>
      </w:pPr>
      <w:r>
        <w:t xml:space="preserve">На четырех стандартных участках литорали острова Ряжкова было (Южная </w:t>
      </w:r>
      <w:r>
        <w:t xml:space="preserve">губа, Восточный берег, Северная губа и Западный берег) проводятся ежегодные описания популяции усоногих раков </w:t>
      </w:r>
      <w:r>
        <w:rPr>
          <w:i/>
          <w:iCs/>
        </w:rPr>
        <w:t>Semibalanus balanoides</w:t>
      </w:r>
      <w:r>
        <w:t>. На каждом из участков ежегодно выбирается случайным образом по несколько валунов. Координаты точек расположения валунов за</w:t>
      </w:r>
      <w:r>
        <w:t>секаются с помощью спутникового навигатора. Расположение точек сбора материала, обследованных в 2024 году приведено на Рисунок 1. Координаты обследованных в 2024 г камней приведены в таблице +.1.</w:t>
      </w:r>
    </w:p>
    <w:p w:rsidR="00992ADA" w:rsidRDefault="00E939D4">
      <w:pPr>
        <w:pStyle w:val="a0"/>
      </w:pPr>
      <w:r>
        <w:t>Валуны, использованные в анализе, располагались не выше пояс</w:t>
      </w:r>
      <w:r>
        <w:t>а фукоидов и имели в диаметре не менее 1 метра. Обилие балянусов подсчитывалось на двух сторонах валуна (обращенной к морю (“Sea”) и обращенной к суше (“Land”). На каждой стороне было заложено по три площадки 10х10 см, располагавшихся на высоте 30 см от по</w:t>
      </w:r>
      <w:r>
        <w:t>верхности грунта. Рамка, ограничивающая площадку, была разбита на 25 квадратов со стороной 2 см. В трех случайно выбранных квадратах было подсчитано обилие балянусов следующих классов: Живые сеголетки, Мертвые сеголетки, Живые особи возрастом 1+ и более (д</w:t>
      </w:r>
      <w:r>
        <w:t>алее взрослые), Мертвые взрослые особи. Данные, по учетам балянусов в 2024 году, приведены в таблице +.2.</w:t>
      </w:r>
    </w:p>
    <w:p w:rsidR="00992ADA" w:rsidRDefault="00E939D4" w:rsidP="008E79F9">
      <w:pPr>
        <w:jc w:val="center"/>
      </w:pPr>
      <w:r>
        <w:rPr>
          <w:noProof/>
        </w:rPr>
        <w:drawing>
          <wp:inline distT="0" distB="0" distL="0" distR="0">
            <wp:extent cx="2943860" cy="2842260"/>
            <wp:effectExtent l="0" t="0" r="8890" b="0"/>
            <wp:docPr id="21" name="Picture" descr="Рисунок 1. Расположение камней, на которых проводился учет балянусов, на побережье о. Ряжкова (2024 г.). Position of stones where barnacles were counted on the shore of Ryazhkov island in 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Khaitov_2024_Balanus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167" cy="2842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DA" w:rsidRDefault="00E939D4">
      <w:pPr>
        <w:pStyle w:val="ImageCaption"/>
      </w:pPr>
      <w:r w:rsidRPr="008E79F9">
        <w:rPr>
          <w:b/>
          <w:bCs/>
          <w:lang w:val="ru-RU"/>
        </w:rPr>
        <w:t>Рисунок 1.</w:t>
      </w:r>
      <w:r w:rsidRPr="008E79F9">
        <w:rPr>
          <w:lang w:val="ru-RU"/>
        </w:rPr>
        <w:t xml:space="preserve"> Расположение камней, на которых проводился учет </w:t>
      </w:r>
      <w:proofErr w:type="spellStart"/>
      <w:r w:rsidRPr="008E79F9">
        <w:rPr>
          <w:lang w:val="ru-RU"/>
        </w:rPr>
        <w:t>балянусов</w:t>
      </w:r>
      <w:proofErr w:type="spellEnd"/>
      <w:r w:rsidRPr="008E79F9">
        <w:rPr>
          <w:lang w:val="ru-RU"/>
        </w:rPr>
        <w:t xml:space="preserve">, на побережье о. </w:t>
      </w:r>
      <w:proofErr w:type="spellStart"/>
      <w:r w:rsidRPr="008E79F9">
        <w:rPr>
          <w:lang w:val="ru-RU"/>
        </w:rPr>
        <w:t>Ряжкова</w:t>
      </w:r>
      <w:proofErr w:type="spellEnd"/>
      <w:r w:rsidRPr="008E79F9">
        <w:rPr>
          <w:lang w:val="ru-RU"/>
        </w:rPr>
        <w:t xml:space="preserve"> (2024 г.). </w:t>
      </w:r>
      <w:r>
        <w:t>Position of stones where barnacles were cou</w:t>
      </w:r>
      <w:r>
        <w:t>nted on the shore of Ryazhkov island in 2024</w:t>
      </w:r>
    </w:p>
    <w:p w:rsidR="00992ADA" w:rsidRDefault="00E939D4">
      <w:pPr>
        <w:pStyle w:val="a0"/>
      </w:pPr>
      <w:r>
        <w:t xml:space="preserve">Рисунок 2 демонстрирует обилие разных стадий на разных точках в 2024 г. Самое мощное пополнение в этом году происходило на Западном берегу, на втором месте были Северная и Южная губа. Меньше всего молоди осело, </w:t>
      </w:r>
      <w:r>
        <w:t>как и прежде, на Восточном берегу.</w:t>
      </w:r>
    </w:p>
    <w:p w:rsidR="00992ADA" w:rsidRDefault="00E939D4">
      <w:r>
        <w:rPr>
          <w:noProof/>
        </w:rPr>
        <w:lastRenderedPageBreak/>
        <w:drawing>
          <wp:inline distT="0" distB="0" distL="0" distR="0">
            <wp:extent cx="5504749" cy="4587290"/>
            <wp:effectExtent l="0" t="0" r="0" b="0"/>
            <wp:docPr id="24" name="Picture" descr="Рисунок 2. Обилие сеголеток и взрослых балянусов (экз. на 4 кв.см.) в 2024 году. Abundance of juveniles and adult barnacles (ind per 4 sq. cm) in 2024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Khaitov_2024_Balanu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458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DA" w:rsidRDefault="00E939D4">
      <w:pPr>
        <w:pStyle w:val="ImageCaption"/>
      </w:pPr>
      <w:r w:rsidRPr="008E79F9">
        <w:rPr>
          <w:b/>
          <w:bCs/>
          <w:lang w:val="ru-RU"/>
        </w:rPr>
        <w:t>Рисунок 2.</w:t>
      </w:r>
      <w:r w:rsidRPr="008E79F9">
        <w:rPr>
          <w:lang w:val="ru-RU"/>
        </w:rPr>
        <w:t xml:space="preserve"> Обилие сеголеток и взрослых </w:t>
      </w:r>
      <w:proofErr w:type="spellStart"/>
      <w:r w:rsidRPr="008E79F9">
        <w:rPr>
          <w:lang w:val="ru-RU"/>
        </w:rPr>
        <w:t>балянусов</w:t>
      </w:r>
      <w:proofErr w:type="spellEnd"/>
      <w:r w:rsidRPr="008E79F9">
        <w:rPr>
          <w:lang w:val="ru-RU"/>
        </w:rPr>
        <w:t xml:space="preserve"> (экз. на 4 </w:t>
      </w:r>
      <w:proofErr w:type="spellStart"/>
      <w:r w:rsidRPr="008E79F9">
        <w:rPr>
          <w:lang w:val="ru-RU"/>
        </w:rPr>
        <w:t>кв.см</w:t>
      </w:r>
      <w:proofErr w:type="spellEnd"/>
      <w:r w:rsidRPr="008E79F9">
        <w:rPr>
          <w:lang w:val="ru-RU"/>
        </w:rPr>
        <w:t xml:space="preserve">.) в 2024 году. </w:t>
      </w:r>
      <w:r>
        <w:t>Abundance of juveniles and adult barnacles (ind per 4 sq. cm) in 2024.</w:t>
      </w:r>
    </w:p>
    <w:p w:rsidR="00992ADA" w:rsidRDefault="00E939D4">
      <w:r>
        <w:br w:type="page"/>
      </w:r>
    </w:p>
    <w:p w:rsidR="00992ADA" w:rsidRDefault="00E939D4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lastRenderedPageBreak/>
        <w:t>Таблица +.1. Координаты камней, на которых проводился учет баляну</w:t>
      </w:r>
      <w:r>
        <w:t>сов в 2024 г. Coordinates of stones where barnacles were counted in 2024.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005"/>
        <w:gridCol w:w="1102"/>
        <w:gridCol w:w="1245"/>
        <w:gridCol w:w="1245"/>
      </w:tblGrid>
      <w:tr w:rsidR="00992ADA">
        <w:trPr>
          <w:tblHeader/>
          <w:jc w:val="center"/>
        </w:trPr>
        <w:tc>
          <w:tcPr>
            <w:tcW w:w="200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Участок</w:t>
            </w:r>
          </w:p>
        </w:tc>
        <w:tc>
          <w:tcPr>
            <w:tcW w:w="110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Камень</w:t>
            </w:r>
          </w:p>
        </w:tc>
        <w:tc>
          <w:tcPr>
            <w:tcW w:w="124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Широта</w:t>
            </w:r>
          </w:p>
        </w:tc>
        <w:tc>
          <w:tcPr>
            <w:tcW w:w="124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Долгота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Восточный берег</w:t>
            </w:r>
          </w:p>
        </w:tc>
        <w:tc>
          <w:tcPr>
            <w:tcW w:w="110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4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67.01617</w:t>
            </w:r>
          </w:p>
        </w:tc>
        <w:tc>
          <w:tcPr>
            <w:tcW w:w="124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32.58185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Восточный берег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67.01625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32.58180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Восточный берег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67.01623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32.58300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Северная губа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67.02505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32.54163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Северная губа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67.02490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32.54090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Северная губа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67.02490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32.54107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Западный берег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67.01358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32.54092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Западный берег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67.01367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32.54000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Западный берег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67.01363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32.53978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Южная губа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67.00880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32.57348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Южная губа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67.00873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32.57320</w:t>
            </w:r>
          </w:p>
        </w:tc>
      </w:tr>
      <w:tr w:rsidR="00992ADA">
        <w:trPr>
          <w:jc w:val="center"/>
        </w:trPr>
        <w:tc>
          <w:tcPr>
            <w:tcW w:w="200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Южная губа</w:t>
            </w:r>
          </w:p>
        </w:tc>
        <w:tc>
          <w:tcPr>
            <w:tcW w:w="110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67.00868</w:t>
            </w:r>
          </w:p>
        </w:tc>
        <w:tc>
          <w:tcPr>
            <w:tcW w:w="124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32.57307</w:t>
            </w:r>
          </w:p>
        </w:tc>
      </w:tr>
    </w:tbl>
    <w:p w:rsidR="00992ADA" w:rsidRDefault="00E939D4">
      <w:r>
        <w:br w:type="page"/>
      </w:r>
    </w:p>
    <w:p w:rsidR="00992ADA" w:rsidRDefault="00E939D4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 w:rsidRPr="008E79F9">
        <w:rPr>
          <w:lang w:val="ru-RU"/>
        </w:rPr>
        <w:lastRenderedPageBreak/>
        <w:t xml:space="preserve">Таблица +.2 Обилие сеголеток и взрослых </w:t>
      </w:r>
      <w:proofErr w:type="spellStart"/>
      <w:proofErr w:type="gramStart"/>
      <w:r w:rsidRPr="008E79F9">
        <w:rPr>
          <w:lang w:val="ru-RU"/>
        </w:rPr>
        <w:t>балянусов</w:t>
      </w:r>
      <w:proofErr w:type="spellEnd"/>
      <w:r w:rsidRPr="008E79F9">
        <w:rPr>
          <w:lang w:val="ru-RU"/>
        </w:rPr>
        <w:t xml:space="preserve">  на</w:t>
      </w:r>
      <w:proofErr w:type="gramEnd"/>
      <w:r w:rsidRPr="008E79F9">
        <w:rPr>
          <w:lang w:val="ru-RU"/>
        </w:rPr>
        <w:t xml:space="preserve"> побережье о. </w:t>
      </w:r>
      <w:proofErr w:type="spellStart"/>
      <w:r w:rsidRPr="008E79F9">
        <w:rPr>
          <w:lang w:val="ru-RU"/>
        </w:rPr>
        <w:t>Ряжкова</w:t>
      </w:r>
      <w:proofErr w:type="spellEnd"/>
      <w:r w:rsidRPr="008E79F9">
        <w:rPr>
          <w:lang w:val="ru-RU"/>
        </w:rPr>
        <w:t xml:space="preserve"> в 2024 г. (экз. на 4 </w:t>
      </w:r>
      <w:proofErr w:type="spellStart"/>
      <w:r w:rsidRPr="008E79F9">
        <w:rPr>
          <w:lang w:val="ru-RU"/>
        </w:rPr>
        <w:t>кв.см</w:t>
      </w:r>
      <w:proofErr w:type="spellEnd"/>
      <w:r w:rsidRPr="008E79F9">
        <w:rPr>
          <w:lang w:val="ru-RU"/>
        </w:rPr>
        <w:t xml:space="preserve">.).  </w:t>
      </w:r>
      <w:r>
        <w:t>Abundance of barnacles juveniles adults on the shore of Ryazhkov island in 2024 (ind. per 4 sq. cm)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604"/>
        <w:gridCol w:w="1080"/>
        <w:gridCol w:w="1080"/>
        <w:gridCol w:w="1080"/>
        <w:gridCol w:w="1080"/>
        <w:gridCol w:w="1080"/>
        <w:gridCol w:w="1080"/>
        <w:gridCol w:w="1080"/>
      </w:tblGrid>
      <w:tr w:rsidR="00992ADA" w:rsidTr="008E79F9">
        <w:trPr>
          <w:tblHeader/>
          <w:jc w:val="center"/>
        </w:trPr>
        <w:tc>
          <w:tcPr>
            <w:tcW w:w="160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Сайт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Камень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Направ</w:t>
            </w:r>
            <w:r w:rsidR="008E79F9">
              <w:rPr>
                <w:rFonts w:ascii="Arial" w:eastAsia="Arial" w:hAnsi="Arial" w:cs="Arial"/>
                <w:color w:val="000000"/>
                <w:sz w:val="18"/>
                <w:szCs w:val="18"/>
              </w:rPr>
              <w:t>-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ление</w:t>
            </w:r>
            <w:proofErr w:type="spellEnd"/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Рамка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Сеголет</w:t>
            </w:r>
            <w:r w:rsidR="008E79F9">
              <w:rPr>
                <w:rFonts w:ascii="Arial" w:eastAsia="Arial" w:hAnsi="Arial" w:cs="Arial"/>
                <w:color w:val="000000"/>
                <w:sz w:val="18"/>
                <w:szCs w:val="18"/>
              </w:rPr>
              <w:t>-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ки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живые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Сеголет</w:t>
            </w:r>
            <w:r w:rsidR="008E79F9">
              <w:rPr>
                <w:rFonts w:ascii="Arial" w:eastAsia="Arial" w:hAnsi="Arial" w:cs="Arial"/>
                <w:color w:val="000000"/>
                <w:sz w:val="18"/>
                <w:szCs w:val="18"/>
              </w:rPr>
              <w:t>-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ки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мертвые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Взрослые живые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Взрослые мертвые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12" w:space="0" w:color="666666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12" w:space="0" w:color="666666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Восточный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Северная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Западный берег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Land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tr w:rsidR="00992ADA" w:rsidTr="008E79F9">
        <w:trPr>
          <w:jc w:val="center"/>
        </w:trPr>
        <w:tc>
          <w:tcPr>
            <w:tcW w:w="1604" w:type="dxa"/>
            <w:tcBorders>
              <w:top w:val="single" w:sz="8" w:space="0" w:color="BEBEBE"/>
              <w:left w:val="none" w:sz="0" w:space="0" w:color="000000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Южная губа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Sea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12" w:space="0" w:color="666666"/>
              <w:right w:val="single" w:sz="8" w:space="0" w:color="BEBEBE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single" w:sz="8" w:space="0" w:color="BEBEBE"/>
              <w:left w:val="single" w:sz="8" w:space="0" w:color="BEBEBE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92ADA" w:rsidRDefault="00E939D4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</w:tr>
      <w:bookmarkEnd w:id="1"/>
    </w:tbl>
    <w:p w:rsidR="00E939D4" w:rsidRDefault="00E939D4"/>
    <w:sectPr w:rsidR="00E939D4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A174853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B778B92"/>
    <w:multiLevelType w:val="singleLevel"/>
    <w:tmpl w:val="0B778B92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186FB1"/>
    <w:rsid w:val="00212C7B"/>
    <w:rsid w:val="00261E80"/>
    <w:rsid w:val="00454FDB"/>
    <w:rsid w:val="004E29B3"/>
    <w:rsid w:val="00504A3C"/>
    <w:rsid w:val="0055521A"/>
    <w:rsid w:val="00590D07"/>
    <w:rsid w:val="00641B16"/>
    <w:rsid w:val="00741042"/>
    <w:rsid w:val="00784D58"/>
    <w:rsid w:val="008D6863"/>
    <w:rsid w:val="008E79F9"/>
    <w:rsid w:val="00992ADA"/>
    <w:rsid w:val="009B25AA"/>
    <w:rsid w:val="00B86B75"/>
    <w:rsid w:val="00BA7AFD"/>
    <w:rsid w:val="00BC48D5"/>
    <w:rsid w:val="00BD4F03"/>
    <w:rsid w:val="00C36279"/>
    <w:rsid w:val="00D1671F"/>
    <w:rsid w:val="00D24070"/>
    <w:rsid w:val="00DE0ED3"/>
    <w:rsid w:val="00E315A3"/>
    <w:rsid w:val="00E939D4"/>
    <w:rsid w:val="00EA5C88"/>
    <w:rsid w:val="00F053D6"/>
    <w:rsid w:val="0ED03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BFBE08"/>
  <w15:docId w15:val="{BCE09EDC-21AC-486B-8071-8952F8E8A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footnote text" w:uiPriority="9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Date" w:qFormat="1"/>
    <w:lsdException w:name="Block Text" w:uiPriority="9" w:unhideWhenUsed="1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spacing w:after="200"/>
    </w:pPr>
    <w:rPr>
      <w:sz w:val="24"/>
      <w:szCs w:val="24"/>
      <w:lang w:val="en-US"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BA7AFD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Cs w:val="32"/>
    </w:rPr>
  </w:style>
  <w:style w:type="paragraph" w:styleId="3">
    <w:name w:val="heading 3"/>
    <w:basedOn w:val="a"/>
    <w:next w:val="a0"/>
    <w:uiPriority w:val="9"/>
    <w:unhideWhenUsed/>
    <w:qFormat/>
    <w:rsid w:val="00641B16"/>
    <w:pPr>
      <w:keepNext/>
      <w:keepLines/>
      <w:spacing w:before="200" w:after="0"/>
      <w:jc w:val="center"/>
      <w:outlineLvl w:val="2"/>
    </w:pPr>
    <w:rPr>
      <w:rFonts w:ascii="Times New Roman" w:eastAsiaTheme="majorEastAsia" w:hAnsi="Times New Roman" w:cstheme="majorBidi"/>
      <w:b/>
      <w:bCs/>
      <w:i/>
      <w:color w:val="000000" w:themeColor="text1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  <w:ind w:firstLine="720"/>
      <w:jc w:val="both"/>
    </w:pPr>
    <w:rPr>
      <w:rFonts w:ascii="Times New Roman" w:hAnsi="Times New Roman" w:cs="Times New Roman"/>
      <w:sz w:val="20"/>
      <w:szCs w:val="20"/>
      <w:lang w:val="ru-RU"/>
    </w:rPr>
  </w:style>
  <w:style w:type="character" w:styleId="a4">
    <w:name w:val="footnote reference"/>
    <w:basedOn w:val="a5"/>
    <w:rPr>
      <w:vertAlign w:val="superscript"/>
    </w:rPr>
  </w:style>
  <w:style w:type="character" w:customStyle="1" w:styleId="a5">
    <w:name w:val="Название объекта Знак"/>
    <w:basedOn w:val="a1"/>
    <w:link w:val="a6"/>
  </w:style>
  <w:style w:type="paragraph" w:styleId="a6">
    <w:name w:val="caption"/>
    <w:basedOn w:val="a"/>
    <w:next w:val="a"/>
    <w:link w:val="a5"/>
    <w:pPr>
      <w:spacing w:after="120"/>
    </w:pPr>
    <w:rPr>
      <w:i/>
    </w:rPr>
  </w:style>
  <w:style w:type="character" w:styleId="a7">
    <w:name w:val="Hyperlink"/>
    <w:basedOn w:val="a5"/>
    <w:qFormat/>
    <w:rPr>
      <w:color w:val="4F81BD" w:themeColor="accent1"/>
    </w:rPr>
  </w:style>
  <w:style w:type="paragraph" w:styleId="a8">
    <w:name w:val="footnote text"/>
    <w:basedOn w:val="a"/>
    <w:uiPriority w:val="9"/>
    <w:unhideWhenUsed/>
    <w:qFormat/>
  </w:style>
  <w:style w:type="paragraph" w:styleId="a9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styleId="aa">
    <w:name w:val="Title"/>
    <w:basedOn w:val="2"/>
    <w:next w:val="a0"/>
    <w:qFormat/>
    <w:rPr>
      <w:rFonts w:cs="Times New Roman"/>
      <w:caps/>
      <w:color w:val="auto"/>
      <w:sz w:val="20"/>
      <w:szCs w:val="20"/>
      <w:lang w:val="ru-RU"/>
    </w:rPr>
  </w:style>
  <w:style w:type="paragraph" w:styleId="ab">
    <w:name w:val="Subtitle"/>
    <w:basedOn w:val="aa"/>
    <w:next w:val="a0"/>
    <w:qFormat/>
    <w:pPr>
      <w:spacing w:before="240" w:after="240"/>
    </w:pPr>
    <w:rPr>
      <w:sz w:val="30"/>
      <w:szCs w:val="30"/>
    </w:rPr>
  </w:style>
  <w:style w:type="paragraph" w:styleId="ac">
    <w:name w:val="Block Text"/>
    <w:basedOn w:val="a0"/>
    <w:next w:val="a0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  <w:ind w:firstLine="0"/>
      <w:jc w:val="left"/>
    </w:pPr>
    <w:rPr>
      <w:sz w:val="16"/>
      <w:szCs w:val="16"/>
    </w:r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lang w:eastAsia="en-US"/>
    </w:rPr>
  </w:style>
  <w:style w:type="paragraph" w:customStyle="1" w:styleId="Abstract">
    <w:name w:val="Abstract"/>
    <w:basedOn w:val="a0"/>
    <w:next w:val="a0"/>
    <w:qFormat/>
    <w:rPr>
      <w:sz w:val="16"/>
      <w:szCs w:val="16"/>
    </w:rPr>
  </w:style>
  <w:style w:type="paragraph" w:customStyle="1" w:styleId="10">
    <w:name w:val="Список литературы1"/>
    <w:basedOn w:val="a"/>
    <w:qFormat/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customStyle="1" w:styleId="TableCaption">
    <w:name w:val="Table Caption"/>
    <w:basedOn w:val="a6"/>
    <w:qFormat/>
    <w:pPr>
      <w:keepNext/>
    </w:pPr>
  </w:style>
  <w:style w:type="paragraph" w:customStyle="1" w:styleId="ImageCaption">
    <w:name w:val="Image Caption"/>
    <w:basedOn w:val="a6"/>
  </w:style>
  <w:style w:type="paragraph" w:customStyle="1" w:styleId="Figure">
    <w:name w:val="Figure"/>
    <w:basedOn w:val="a"/>
    <w:qFormat/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VerbatimChar">
    <w:name w:val="Verbatim Char"/>
    <w:basedOn w:val="a5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qFormat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qFormat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qFormat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1570</Words>
  <Characters>8950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ХАРАКТЕРИСТИКА ПОПУЛЯЦИИ SEMIBALANUS BALANOIDES НА ЛИТОРАЛИ ОСТРОВА РЯЖКОВА ЛЕТОМ 2024 Г.</dc:title>
  <dc:creator>В. М. Хайтов</dc:creator>
  <cp:keywords/>
  <cp:lastModifiedBy>User</cp:lastModifiedBy>
  <cp:revision>3</cp:revision>
  <dcterms:created xsi:type="dcterms:W3CDTF">2025-03-10T08:35:00Z</dcterms:created>
  <dcterms:modified xsi:type="dcterms:W3CDTF">2025-03-10T08:39:00Z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Хайтов В. М. Характеристика популяции Semibalanus balanoides на литорали острова Ряжкова летом 2024 г. // Толмачева Е. Л. (ред.) Летопись природы Кадалакшского заповедника за 2024 год (ежегодный отчет). Кандалакша. Т.1 (Летопись природы Кандалакшского зап</vt:lpwstr>
  </property>
  <property fmtid="{D5CDD505-2E9C-101B-9397-08002B2CF9AE}" pid="3" name="output">
    <vt:lpwstr/>
  </property>
</Properties>
</file>