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175" w:rsidRDefault="00B74487">
      <w:pPr>
        <w:pStyle w:val="aa"/>
      </w:pPr>
      <w:r>
        <w:t>Распределение солености в акватории вершины Кандалакшского залива летом 2024 года</w:t>
      </w:r>
    </w:p>
    <w:p w:rsidR="00D57175" w:rsidRDefault="00B74487">
      <w:pPr>
        <w:pStyle w:val="Author"/>
      </w:pPr>
      <w:r>
        <w:t>В. М. Хайтов</w:t>
      </w:r>
    </w:p>
    <w:p w:rsidR="00D57175" w:rsidRDefault="00B74487">
      <w:pPr>
        <w:pStyle w:val="Abstract"/>
      </w:pPr>
      <w:r>
        <w:rPr>
          <w:b/>
          <w:bCs/>
        </w:rPr>
        <w:t>Хайтов В. М. Распределение солености в акватории вершины Кандалакшского залива летом 2024 года</w:t>
      </w:r>
      <w:r>
        <w:t xml:space="preserve"> // Толмачева Е. Л. (ред.) Летопись природы Кадалакшского</w:t>
      </w:r>
      <w:r>
        <w:t xml:space="preserve"> заповедника за 2024 год (ежегодный отчет). Кандалакша. Т.1 (Летопись природы Кандалакшского заповедника, кн. ++)</w:t>
      </w:r>
    </w:p>
    <w:p w:rsidR="00D57175" w:rsidRDefault="00B74487">
      <w:pPr>
        <w:pStyle w:val="Abstract"/>
      </w:pPr>
      <w:r>
        <w:t>На основе анализа проб поверхностной солености построена карта распределния этого показателя в врешине Кандалакшского залива. Проведно сравнен</w:t>
      </w:r>
      <w:r>
        <w:t>ие с аналогичной картой, полученной в 2015 г. Описано вертикальное распределение солености в Западной Ряжковой салме.</w:t>
      </w:r>
    </w:p>
    <w:p w:rsidR="00D57175" w:rsidRPr="00B74487" w:rsidRDefault="00B74487">
      <w:pPr>
        <w:pStyle w:val="Abstract"/>
        <w:rPr>
          <w:lang w:val="en-US"/>
        </w:rPr>
      </w:pPr>
      <w:proofErr w:type="spellStart"/>
      <w:r w:rsidRPr="00B74487">
        <w:rPr>
          <w:b/>
          <w:bCs/>
          <w:lang w:val="en-US"/>
        </w:rPr>
        <w:t>Khaitov</w:t>
      </w:r>
      <w:proofErr w:type="spellEnd"/>
      <w:r w:rsidRPr="00B74487">
        <w:rPr>
          <w:b/>
          <w:bCs/>
          <w:lang w:val="en-US"/>
        </w:rPr>
        <w:t xml:space="preserve"> V.M. Distribution of salinity in the top of </w:t>
      </w:r>
      <w:proofErr w:type="spellStart"/>
      <w:r w:rsidRPr="00B74487">
        <w:rPr>
          <w:b/>
          <w:bCs/>
          <w:lang w:val="en-US"/>
        </w:rPr>
        <w:t>Kandalaksha</w:t>
      </w:r>
      <w:proofErr w:type="spellEnd"/>
      <w:r w:rsidRPr="00B74487">
        <w:rPr>
          <w:b/>
          <w:bCs/>
          <w:lang w:val="en-US"/>
        </w:rPr>
        <w:t xml:space="preserve"> Bay in summer 2024</w:t>
      </w:r>
      <w:r w:rsidRPr="00B74487">
        <w:rPr>
          <w:lang w:val="en-US"/>
        </w:rPr>
        <w:t xml:space="preserve"> // </w:t>
      </w:r>
      <w:proofErr w:type="spellStart"/>
      <w:r w:rsidRPr="00B74487">
        <w:rPr>
          <w:lang w:val="en-US"/>
        </w:rPr>
        <w:t>Tolmacheva</w:t>
      </w:r>
      <w:proofErr w:type="spellEnd"/>
      <w:r w:rsidRPr="00B74487">
        <w:rPr>
          <w:lang w:val="en-US"/>
        </w:rPr>
        <w:t xml:space="preserve"> E. L. (ed.) The Chronicle of Nature by th</w:t>
      </w:r>
      <w:r w:rsidRPr="00B74487">
        <w:rPr>
          <w:lang w:val="en-US"/>
        </w:rPr>
        <w:t xml:space="preserve">e </w:t>
      </w:r>
      <w:proofErr w:type="spellStart"/>
      <w:r w:rsidRPr="00B74487">
        <w:rPr>
          <w:lang w:val="en-US"/>
        </w:rPr>
        <w:t>Kandalaksha</w:t>
      </w:r>
      <w:proofErr w:type="spellEnd"/>
      <w:r w:rsidRPr="00B74487">
        <w:rPr>
          <w:lang w:val="en-US"/>
        </w:rPr>
        <w:t xml:space="preserve"> Reserve for 2024 (Annual report). </w:t>
      </w:r>
      <w:proofErr w:type="spellStart"/>
      <w:r w:rsidRPr="00B74487">
        <w:rPr>
          <w:lang w:val="en-US"/>
        </w:rPr>
        <w:t>Kandalaksha</w:t>
      </w:r>
      <w:proofErr w:type="spellEnd"/>
      <w:r w:rsidRPr="00B74487">
        <w:rPr>
          <w:lang w:val="en-US"/>
        </w:rPr>
        <w:t xml:space="preserve">. V.1. (The Chronicle of Nature by the </w:t>
      </w:r>
      <w:proofErr w:type="spellStart"/>
      <w:r w:rsidRPr="00B74487">
        <w:rPr>
          <w:lang w:val="en-US"/>
        </w:rPr>
        <w:t>Kandalaksha</w:t>
      </w:r>
      <w:proofErr w:type="spellEnd"/>
      <w:r w:rsidRPr="00B74487">
        <w:rPr>
          <w:lang w:val="en-US"/>
        </w:rPr>
        <w:t xml:space="preserve"> Reserve, Book N ++)</w:t>
      </w:r>
    </w:p>
    <w:p w:rsidR="00D57175" w:rsidRPr="00B74487" w:rsidRDefault="00B74487">
      <w:pPr>
        <w:pStyle w:val="Abstract"/>
        <w:rPr>
          <w:lang w:val="en-US"/>
        </w:rPr>
      </w:pPr>
      <w:r w:rsidRPr="00B74487">
        <w:rPr>
          <w:lang w:val="en-US"/>
        </w:rPr>
        <w:t xml:space="preserve">Based on the analysis of surface salinity samples in the top of the </w:t>
      </w:r>
      <w:proofErr w:type="spellStart"/>
      <w:r w:rsidRPr="00B74487">
        <w:rPr>
          <w:lang w:val="en-US"/>
        </w:rPr>
        <w:t>Kandalaksha</w:t>
      </w:r>
      <w:proofErr w:type="spellEnd"/>
      <w:r w:rsidRPr="00B74487">
        <w:rPr>
          <w:lang w:val="en-US"/>
        </w:rPr>
        <w:t xml:space="preserve"> Bay, a map of salinity distribution was constr</w:t>
      </w:r>
      <w:r w:rsidRPr="00B74487">
        <w:rPr>
          <w:lang w:val="en-US"/>
        </w:rPr>
        <w:t xml:space="preserve">ucted. A comparison with a similar map obtained in 2015 was </w:t>
      </w:r>
      <w:proofErr w:type="spellStart"/>
      <w:proofErr w:type="gramStart"/>
      <w:r w:rsidRPr="00B74487">
        <w:rPr>
          <w:lang w:val="en-US"/>
        </w:rPr>
        <w:t>made.The</w:t>
      </w:r>
      <w:proofErr w:type="spellEnd"/>
      <w:proofErr w:type="gramEnd"/>
      <w:r w:rsidRPr="00B74487">
        <w:rPr>
          <w:lang w:val="en-US"/>
        </w:rPr>
        <w:t xml:space="preserve"> vertical distribution of salinity in the Western </w:t>
      </w:r>
      <w:proofErr w:type="spellStart"/>
      <w:r w:rsidRPr="00B74487">
        <w:rPr>
          <w:lang w:val="en-US"/>
        </w:rPr>
        <w:t>Ryazhkovaya</w:t>
      </w:r>
      <w:proofErr w:type="spellEnd"/>
      <w:r w:rsidRPr="00B74487">
        <w:rPr>
          <w:lang w:val="en-US"/>
        </w:rPr>
        <w:t xml:space="preserve"> Salma is described.</w:t>
      </w:r>
    </w:p>
    <w:p w:rsidR="00D57175" w:rsidRPr="00B74487" w:rsidRDefault="00B74487">
      <w:pPr>
        <w:pStyle w:val="2"/>
        <w:rPr>
          <w:lang w:val="ru-RU"/>
        </w:rPr>
      </w:pPr>
      <w:bookmarkStart w:id="0" w:name="Xda24fccffbb83cd8cad0c28899e8c6cc5833577"/>
      <w:r w:rsidRPr="00B74487">
        <w:rPr>
          <w:lang w:val="ru-RU"/>
        </w:rPr>
        <w:t>Картирование распредел</w:t>
      </w:r>
      <w:r>
        <w:rPr>
          <w:lang w:val="ru-RU"/>
        </w:rPr>
        <w:t>е</w:t>
      </w:r>
      <w:r w:rsidRPr="00B74487">
        <w:rPr>
          <w:lang w:val="ru-RU"/>
        </w:rPr>
        <w:t>ния поверхностной солености</w:t>
      </w:r>
    </w:p>
    <w:p w:rsidR="00D57175" w:rsidRDefault="00B74487">
      <w:pPr>
        <w:pStyle w:val="FirstParagraph"/>
      </w:pPr>
      <w:r>
        <w:t>Для картирования поверхностной солености было отобрано 1</w:t>
      </w:r>
      <w:r>
        <w:t>25 проб которые были взяты в период с 13.08 по 18.08.2024 (Табл. +.1). Все пробы были взяты в течение периода, ограниченного одним часом до и одним часом после времени максимального отлива. При выходе на точку взятия проб были засечены географические коорд</w:t>
      </w:r>
      <w:r>
        <w:t>инаты и отобрана проба воды объемом 2 мл. Определение солености осуществлялось с помощью ручного рефрактометра. Аналогичный сбор данных был проведен в 2015 г. на 114 точках (Рисунок 1).</w:t>
      </w:r>
    </w:p>
    <w:p w:rsidR="00D57175" w:rsidRDefault="00B74487" w:rsidP="00B74487">
      <w:pPr>
        <w:jc w:val="center"/>
      </w:pPr>
      <w:r>
        <w:rPr>
          <w:noProof/>
        </w:rPr>
        <w:drawing>
          <wp:inline distT="0" distB="0" distL="0" distR="0">
            <wp:extent cx="4274819" cy="2857500"/>
            <wp:effectExtent l="0" t="0" r="0" b="0"/>
            <wp:docPr id="21" name="Picture" descr="Рисунок 1. Точки отбора проб солености в вершине Кандалакшского залива в 2015 и 2024 гг. Sites of salinity samplings at the top of Kandalaksha Bay in 2015 and 2024"/>
            <wp:cNvGraphicFramePr/>
            <a:graphic xmlns:a="http://schemas.openxmlformats.org/drawingml/2006/main">
              <a:graphicData uri="http://schemas.openxmlformats.org/drawingml/2006/picture">
                <pic:pic xmlns:pic="http://schemas.openxmlformats.org/drawingml/2006/picture">
                  <pic:nvPicPr>
                    <pic:cNvPr id="22" name="Picture" descr="Khaitov_2024_surface_salinity_distribution_files/figure-docx/unnamed-chunk-1-1.png"/>
                    <pic:cNvPicPr>
                      <a:picLocks noChangeAspect="1" noChangeArrowheads="1"/>
                    </pic:cNvPicPr>
                  </pic:nvPicPr>
                  <pic:blipFill rotWithShape="1">
                    <a:blip r:embed="rId5"/>
                    <a:srcRect t="18471" b="19681"/>
                    <a:stretch/>
                  </pic:blipFill>
                  <pic:spPr bwMode="auto">
                    <a:xfrm>
                      <a:off x="0" y="0"/>
                      <a:ext cx="4275263" cy="2857797"/>
                    </a:xfrm>
                    <a:prstGeom prst="rect">
                      <a:avLst/>
                    </a:prstGeom>
                    <a:noFill/>
                    <a:ln>
                      <a:noFill/>
                    </a:ln>
                    <a:extLst>
                      <a:ext uri="{53640926-AAD7-44D8-BBD7-CCE9431645EC}">
                        <a14:shadowObscured xmlns:a14="http://schemas.microsoft.com/office/drawing/2010/main"/>
                      </a:ext>
                    </a:extLst>
                  </pic:spPr>
                </pic:pic>
              </a:graphicData>
            </a:graphic>
          </wp:inline>
        </w:drawing>
      </w:r>
    </w:p>
    <w:p w:rsidR="00D57175" w:rsidRPr="00B74487" w:rsidRDefault="00B74487">
      <w:pPr>
        <w:pStyle w:val="ImageCaption"/>
        <w:rPr>
          <w:sz w:val="20"/>
          <w:szCs w:val="20"/>
        </w:rPr>
      </w:pPr>
      <w:r w:rsidRPr="00B74487">
        <w:rPr>
          <w:b/>
          <w:bCs/>
          <w:sz w:val="20"/>
          <w:szCs w:val="20"/>
          <w:lang w:val="ru-RU"/>
        </w:rPr>
        <w:t>Рисунок 1.</w:t>
      </w:r>
      <w:r w:rsidRPr="00B74487">
        <w:rPr>
          <w:sz w:val="20"/>
          <w:szCs w:val="20"/>
          <w:lang w:val="ru-RU"/>
        </w:rPr>
        <w:t xml:space="preserve"> Точки отбора проб солености в вершине Кандалакшского зали</w:t>
      </w:r>
      <w:r w:rsidRPr="00B74487">
        <w:rPr>
          <w:sz w:val="20"/>
          <w:szCs w:val="20"/>
          <w:lang w:val="ru-RU"/>
        </w:rPr>
        <w:t xml:space="preserve">ва в 2015 и 2024 гг. </w:t>
      </w:r>
      <w:r w:rsidRPr="00B74487">
        <w:rPr>
          <w:sz w:val="20"/>
          <w:szCs w:val="20"/>
        </w:rPr>
        <w:t>Sites of salinity samplings at the top of Kandalaksha Bay in 2015 and 2024</w:t>
      </w:r>
    </w:p>
    <w:p w:rsidR="00D57175" w:rsidRDefault="00B74487">
      <w:pPr>
        <w:pStyle w:val="a0"/>
      </w:pPr>
      <w:r>
        <w:t>Сравнение данных полученных в 2024 г. с данными, полученными аналогичным способом в 2015 гг. (см. Летопись природы за 2015 г.) показало, что поверхностная солен</w:t>
      </w:r>
      <w:r>
        <w:t>ость в акватории была в 2024 г. заметно ниже и варьировала в более узких пределах (Рисунок 2). Это согласуется с общей тенденцией опреснения поверхностных вод вершины Кандалакшского залива, отмеченной при мониторинге гидрологических параметров в Южной губе</w:t>
      </w:r>
      <w:r>
        <w:t xml:space="preserve"> о. Ряжкова (см. соответствующую главу данного тома Летописи природы).</w:t>
      </w:r>
    </w:p>
    <w:p w:rsidR="00D57175" w:rsidRDefault="00B74487" w:rsidP="00B74487">
      <w:pPr>
        <w:jc w:val="center"/>
      </w:pPr>
      <w:r>
        <w:rPr>
          <w:noProof/>
        </w:rPr>
        <w:lastRenderedPageBreak/>
        <w:drawing>
          <wp:inline distT="0" distB="0" distL="0" distR="0">
            <wp:extent cx="3566160" cy="2880360"/>
            <wp:effectExtent l="0" t="0" r="0" b="0"/>
            <wp:docPr id="24" name="Picture" descr="Рисунок 2. Поверхностная соленость в вершине Кандалакшского залива в 2015 и 2024 гг. Surface salinity at the top of Kandalaksha Bay in 2015 and 2024"/>
            <wp:cNvGraphicFramePr/>
            <a:graphic xmlns:a="http://schemas.openxmlformats.org/drawingml/2006/main">
              <a:graphicData uri="http://schemas.openxmlformats.org/drawingml/2006/picture">
                <pic:pic xmlns:pic="http://schemas.openxmlformats.org/drawingml/2006/picture">
                  <pic:nvPicPr>
                    <pic:cNvPr id="25" name="Picture" descr="Khaitov_2024_surface_salinity_distribution_files/figure-docx/unnamed-chunk-2-1.png"/>
                    <pic:cNvPicPr>
                      <a:picLocks noChangeAspect="1" noChangeArrowheads="1"/>
                    </pic:cNvPicPr>
                  </pic:nvPicPr>
                  <pic:blipFill>
                    <a:blip r:embed="rId6"/>
                    <a:stretch>
                      <a:fillRect/>
                    </a:stretch>
                  </pic:blipFill>
                  <pic:spPr bwMode="auto">
                    <a:xfrm>
                      <a:off x="0" y="0"/>
                      <a:ext cx="3566533" cy="2880661"/>
                    </a:xfrm>
                    <a:prstGeom prst="rect">
                      <a:avLst/>
                    </a:prstGeom>
                    <a:noFill/>
                    <a:ln w="9525">
                      <a:noFill/>
                      <a:headEnd/>
                      <a:tailEnd/>
                    </a:ln>
                  </pic:spPr>
                </pic:pic>
              </a:graphicData>
            </a:graphic>
          </wp:inline>
        </w:drawing>
      </w:r>
    </w:p>
    <w:p w:rsidR="00D57175" w:rsidRPr="00B74487" w:rsidRDefault="00B74487">
      <w:pPr>
        <w:pStyle w:val="ImageCaption"/>
        <w:rPr>
          <w:sz w:val="20"/>
          <w:szCs w:val="20"/>
        </w:rPr>
      </w:pPr>
      <w:bookmarkStart w:id="1" w:name="_Hlk192437711"/>
      <w:r w:rsidRPr="00B74487">
        <w:rPr>
          <w:b/>
          <w:bCs/>
          <w:sz w:val="20"/>
          <w:szCs w:val="20"/>
          <w:lang w:val="ru-RU"/>
        </w:rPr>
        <w:t>Рисунок 2.</w:t>
      </w:r>
      <w:r w:rsidRPr="00B74487">
        <w:rPr>
          <w:sz w:val="20"/>
          <w:szCs w:val="20"/>
          <w:lang w:val="ru-RU"/>
        </w:rPr>
        <w:t xml:space="preserve"> Поверхностная соленость в вершине Кандалакшского залива в 2015 и 2024 гг. </w:t>
      </w:r>
      <w:r w:rsidRPr="00B74487">
        <w:rPr>
          <w:sz w:val="20"/>
          <w:szCs w:val="20"/>
        </w:rPr>
        <w:t>Surface salinity at the top of Kandalaksha Bay in 2015 and 2024</w:t>
      </w:r>
    </w:p>
    <w:bookmarkEnd w:id="1"/>
    <w:p w:rsidR="00B74487" w:rsidRDefault="00B74487" w:rsidP="00B74487">
      <w:pPr>
        <w:pStyle w:val="a0"/>
      </w:pPr>
      <w:r>
        <w:t>Полученная карты (Рисунок 3) позво</w:t>
      </w:r>
      <w:r>
        <w:t>ляет заметить, что паттерны распределения солености в 2015 и 2024 гг. очень похожи. “Язык” распреснения простирается на всю северо-восточную часть акватории залива, ограниченную материком и островами Олений и Телячий. Влияние опреснения прослеживается и вд</w:t>
      </w:r>
      <w:r>
        <w:t>оль Западной Ряжковой салмы до уровня северной оконечности о. Ряжкова. Такой характер распределения солености, по всей видимости, определяется течениями. Эти течения приносят соленые воды из Бассейна Белого моря, идя вдоль Кандалакшского берега. Далее, оги</w:t>
      </w:r>
      <w:r>
        <w:t>бая кут залива, вода, опресненная за счет стоков с р. Нива и губы Канда, двигается вдоль Карельского берега.</w:t>
      </w:r>
    </w:p>
    <w:p w:rsidR="00D57175" w:rsidRDefault="00B74487" w:rsidP="00B74487">
      <w:pPr>
        <w:pStyle w:val="a0"/>
      </w:pPr>
      <w:r>
        <w:rPr>
          <w:noProof/>
        </w:rPr>
        <w:drawing>
          <wp:inline distT="0" distB="0" distL="0" distR="0">
            <wp:extent cx="5166360" cy="3390900"/>
            <wp:effectExtent l="0" t="0" r="0" b="0"/>
            <wp:docPr id="27" name="Picture" descr="Рисунок 3. Карты распределния поверхностной солености в вершине Кандалакшского залива в 2015 и 2024 гг. Maps of surface salinity distribution in the top of Kandalaksha Bay in 2015 and 2024"/>
            <wp:cNvGraphicFramePr/>
            <a:graphic xmlns:a="http://schemas.openxmlformats.org/drawingml/2006/main">
              <a:graphicData uri="http://schemas.openxmlformats.org/drawingml/2006/picture">
                <pic:pic xmlns:pic="http://schemas.openxmlformats.org/drawingml/2006/picture">
                  <pic:nvPicPr>
                    <pic:cNvPr id="28" name="Picture" descr="Khaitov_2024_surface_salinity_distribution_files/figure-docx/unnamed-chunk-4-1.png"/>
                    <pic:cNvPicPr>
                      <a:picLocks noChangeAspect="1" noChangeArrowheads="1"/>
                    </pic:cNvPicPr>
                  </pic:nvPicPr>
                  <pic:blipFill rotWithShape="1">
                    <a:blip r:embed="rId7"/>
                    <a:srcRect t="15090" b="17213"/>
                    <a:stretch/>
                  </pic:blipFill>
                  <pic:spPr bwMode="auto">
                    <a:xfrm>
                      <a:off x="0" y="0"/>
                      <a:ext cx="5166895" cy="3391251"/>
                    </a:xfrm>
                    <a:prstGeom prst="rect">
                      <a:avLst/>
                    </a:prstGeom>
                    <a:noFill/>
                    <a:ln>
                      <a:noFill/>
                    </a:ln>
                    <a:extLst>
                      <a:ext uri="{53640926-AAD7-44D8-BBD7-CCE9431645EC}">
                        <a14:shadowObscured xmlns:a14="http://schemas.microsoft.com/office/drawing/2010/main"/>
                      </a:ext>
                    </a:extLst>
                  </pic:spPr>
                </pic:pic>
              </a:graphicData>
            </a:graphic>
          </wp:inline>
        </w:drawing>
      </w:r>
    </w:p>
    <w:p w:rsidR="00D57175" w:rsidRPr="00B74487" w:rsidRDefault="00B74487">
      <w:pPr>
        <w:pStyle w:val="ImageCaption"/>
        <w:rPr>
          <w:sz w:val="20"/>
          <w:szCs w:val="20"/>
        </w:rPr>
      </w:pPr>
      <w:r w:rsidRPr="00B74487">
        <w:rPr>
          <w:b/>
          <w:bCs/>
          <w:sz w:val="20"/>
          <w:szCs w:val="20"/>
          <w:lang w:val="ru-RU"/>
        </w:rPr>
        <w:t>Р</w:t>
      </w:r>
      <w:r w:rsidRPr="00B74487">
        <w:rPr>
          <w:b/>
          <w:bCs/>
          <w:sz w:val="20"/>
          <w:szCs w:val="20"/>
          <w:lang w:val="ru-RU"/>
        </w:rPr>
        <w:t>исунок 3.</w:t>
      </w:r>
      <w:r w:rsidRPr="00B74487">
        <w:rPr>
          <w:sz w:val="20"/>
          <w:szCs w:val="20"/>
          <w:lang w:val="ru-RU"/>
        </w:rPr>
        <w:t xml:space="preserve"> Карты распредел</w:t>
      </w:r>
      <w:r>
        <w:rPr>
          <w:sz w:val="20"/>
          <w:szCs w:val="20"/>
          <w:lang w:val="ru-RU"/>
        </w:rPr>
        <w:t>е</w:t>
      </w:r>
      <w:r w:rsidRPr="00B74487">
        <w:rPr>
          <w:sz w:val="20"/>
          <w:szCs w:val="20"/>
          <w:lang w:val="ru-RU"/>
        </w:rPr>
        <w:t xml:space="preserve">ния поверхностной солености в вершине Кандалакшского залива в 2015 и 2024 гг. </w:t>
      </w:r>
      <w:r w:rsidRPr="00B74487">
        <w:rPr>
          <w:sz w:val="20"/>
          <w:szCs w:val="20"/>
        </w:rPr>
        <w:t xml:space="preserve">Maps of surface salinity distribution in </w:t>
      </w:r>
      <w:r w:rsidRPr="00B74487">
        <w:rPr>
          <w:sz w:val="20"/>
          <w:szCs w:val="20"/>
        </w:rPr>
        <w:t>the top of Kandalaksha Bay in 2015 and 2024</w:t>
      </w:r>
    </w:p>
    <w:p w:rsidR="00B74487" w:rsidRDefault="00B74487">
      <w:pPr>
        <w:pStyle w:val="ImageCaption"/>
      </w:pPr>
    </w:p>
    <w:p w:rsidR="00B74487" w:rsidRDefault="00B7448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ru-RU"/>
        </w:rPr>
      </w:pPr>
    </w:p>
    <w:p w:rsidR="00B74487" w:rsidRDefault="00B7448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ru-RU"/>
        </w:rPr>
      </w:pPr>
    </w:p>
    <w:p w:rsidR="00D57175" w:rsidRDefault="00B7448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bookmarkStart w:id="2" w:name="_GoBack"/>
      <w:bookmarkEnd w:id="2"/>
      <w:r w:rsidRPr="00B74487">
        <w:rPr>
          <w:lang w:val="ru-RU"/>
        </w:rPr>
        <w:t>Таблица +.</w:t>
      </w:r>
      <w:proofErr w:type="gramStart"/>
      <w:r w:rsidRPr="00B74487">
        <w:rPr>
          <w:lang w:val="ru-RU"/>
        </w:rPr>
        <w:t>1  Поверхностная</w:t>
      </w:r>
      <w:proofErr w:type="gramEnd"/>
      <w:r w:rsidRPr="00B74487">
        <w:rPr>
          <w:lang w:val="ru-RU"/>
        </w:rPr>
        <w:t xml:space="preserve"> соленость в вершине Кандалакшского залива в августе 2024. </w:t>
      </w:r>
      <w:r>
        <w:t>Surface salinity at the top of Kandalaksha Bay in August 2024.</w:t>
      </w:r>
    </w:p>
    <w:p w:rsidR="00B74487"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sectPr w:rsidR="00B74487">
          <w:pgSz w:w="12240" w:h="15840"/>
          <w:pgMar w:top="1134" w:right="850" w:bottom="1134" w:left="1701" w:header="720" w:footer="720" w:gutter="0"/>
          <w:cols w:space="720"/>
        </w:sectPr>
      </w:pPr>
    </w:p>
    <w:tbl>
      <w:tblPr>
        <w:tblW w:w="5104" w:type="dxa"/>
        <w:jc w:val="center"/>
        <w:tblLayout w:type="fixed"/>
        <w:tblLook w:val="0420" w:firstRow="1" w:lastRow="0" w:firstColumn="0" w:lastColumn="0" w:noHBand="0" w:noVBand="1"/>
      </w:tblPr>
      <w:tblGrid>
        <w:gridCol w:w="709"/>
        <w:gridCol w:w="1134"/>
        <w:gridCol w:w="1134"/>
        <w:gridCol w:w="993"/>
        <w:gridCol w:w="1134"/>
      </w:tblGrid>
      <w:tr w:rsidR="00D57175" w:rsidTr="00B74487">
        <w:trPr>
          <w:tblHeader/>
          <w:jc w:val="center"/>
        </w:trPr>
        <w:tc>
          <w:tcPr>
            <w:tcW w:w="709" w:type="dxa"/>
            <w:tcBorders>
              <w:top w:val="single" w:sz="12" w:space="0" w:color="666666"/>
              <w:left w:val="single" w:sz="4" w:space="0" w:color="auto"/>
              <w:bottom w:val="single" w:sz="12" w:space="0" w:color="666666"/>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proofErr w:type="spellStart"/>
            <w:r>
              <w:rPr>
                <w:rFonts w:ascii="Arial" w:eastAsia="Arial" w:hAnsi="Arial" w:cs="Arial"/>
                <w:color w:val="000000"/>
                <w:sz w:val="16"/>
                <w:szCs w:val="16"/>
              </w:rPr>
              <w:t>Точка</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сбора</w:t>
            </w:r>
            <w:proofErr w:type="spellEnd"/>
          </w:p>
        </w:tc>
        <w:tc>
          <w:tcPr>
            <w:tcW w:w="1134"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Дата</w:t>
            </w:r>
          </w:p>
        </w:tc>
        <w:tc>
          <w:tcPr>
            <w:tcW w:w="1134"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Широта</w:t>
            </w:r>
          </w:p>
        </w:tc>
        <w:tc>
          <w:tcPr>
            <w:tcW w:w="993" w:type="dxa"/>
            <w:tcBorders>
              <w:top w:val="single" w:sz="12" w:space="0" w:color="666666"/>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Долгота</w:t>
            </w:r>
          </w:p>
        </w:tc>
        <w:tc>
          <w:tcPr>
            <w:tcW w:w="1134" w:type="dxa"/>
            <w:tcBorders>
              <w:top w:val="single" w:sz="12" w:space="0" w:color="666666"/>
              <w:left w:val="single" w:sz="8" w:space="0" w:color="BEBEBE"/>
              <w:bottom w:val="single" w:sz="12" w:space="0" w:color="666666"/>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Соленость</w:t>
            </w:r>
          </w:p>
        </w:tc>
      </w:tr>
      <w:tr w:rsidR="00D57175" w:rsidTr="00B74487">
        <w:trPr>
          <w:jc w:val="center"/>
        </w:trPr>
        <w:tc>
          <w:tcPr>
            <w:tcW w:w="709" w:type="dxa"/>
            <w:tcBorders>
              <w:top w:val="single" w:sz="12" w:space="0" w:color="666666"/>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1134"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67.00648</w:t>
            </w:r>
          </w:p>
        </w:tc>
        <w:tc>
          <w:tcPr>
            <w:tcW w:w="993" w:type="dxa"/>
            <w:tcBorders>
              <w:top w:val="single" w:sz="12" w:space="0" w:color="666666"/>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32.55563</w:t>
            </w:r>
          </w:p>
        </w:tc>
        <w:tc>
          <w:tcPr>
            <w:tcW w:w="1134" w:type="dxa"/>
            <w:tcBorders>
              <w:top w:val="single" w:sz="12" w:space="0" w:color="666666"/>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67.00578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32.55283</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67.00499</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32.54980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67.00331</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32.54476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67.00264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32.54218</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67.01615</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32.51619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67.01816</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32.51720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67.02198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32.51956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67.02797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32.52466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67.02943</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32.53090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67.02738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32.53721</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67.02571</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32.53999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67.02907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32.53861</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67.03416</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32.54018</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67.03761</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32.54780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67.03956</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32.55259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67.04159</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32.55777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67.04269</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32.56306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19</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67.02876</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32.60209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67.02537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32.59572</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21</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67.01808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32.58350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22</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67.01738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32.58357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23</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67.00570</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32.59280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67.00373</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32.60550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25</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67.00055</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32.62406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26</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67.99730</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32.64739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27</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67.99618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32.63675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28</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67.99717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32.60749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29</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67.99574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32.58977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30</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67.99722</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32.57835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31</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67.98930</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32.58280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67.98801</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32.57596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33</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67.98725</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32.57116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67.98617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32.56360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35</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67.99429</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32.55626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36</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67.99794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32.56346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37</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67.00097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32.57199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38</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67.00420</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32.57887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39</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13.08.2024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67.00719</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32.57348</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40</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67.08831</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32.46075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41</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67.09433</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32.44851</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42</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67.09500</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32.45135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43</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67.10016</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32.45225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67.10526</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32.45064</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45</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67.11077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32.46058</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46</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67.11700</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32.46225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47</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67.12044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32.44957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48</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67.11903</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32.44006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49</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67.11638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32.08684</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50</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67.11686</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32.40431</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51</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67.12228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32.39515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52</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67.12857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32.38590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53</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67.13545</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32.37435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67.14348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32.36316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55</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67.11483</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32.36811</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56</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67.11202</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32.33538</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lastRenderedPageBreak/>
              <w:t>57</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67.10533</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32.32340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58</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15.08.2024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67.09193</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32.34114</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59</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67.04454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32.33588</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60</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67.04625</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32.34804</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61</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67.04925</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32.36865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62</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67.05327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32.39263</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63</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67.05640</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32.40746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67.05849</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32.41452</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65</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67.06404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32.43259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67.07248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32.44437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67.07883</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32.46219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68</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67.08813</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32.48009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69</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67.09724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32.48535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70</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67.10281</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32.49224</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71</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67.10870</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32.50040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72</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67.09714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32.53730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73</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67.10013</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32.54880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67.10584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32.56367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75</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67.10914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32.57906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76</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67.10827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32.58758</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77</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67.10261</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32.57954</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78</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67.09601</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32.56826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79</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67.09159</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32.56167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80</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67.08789</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32.57557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81</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67.08394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32.57058</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82</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67.08461</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32.55911</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83</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67.08531</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32.53227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67.07761</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32.52708</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85</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67.06805</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32.52342</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86</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67.05927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32.51824</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87</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67.04357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32.49924</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88</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67.03534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32.48684</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89</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67.03124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32.48187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90</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67.02725</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32.47876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91</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66.99552</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32.55826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92</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66.98405</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32.57019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93</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66.97060</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32.57564</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66.97140</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32.58079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95</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66.97249</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32.58605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96</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66.97462</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32.59310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97</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66.97631</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32.59895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98</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66.97807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32.60969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99</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66.97706</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32.61855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100</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66.97833</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32.61453</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101</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66.98186</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32.60046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102</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66.98409</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32.59056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103</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66.98844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32.58039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67.01607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32.65575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105</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67.01869</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32.68053</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106</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67.02302</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32.70116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107</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67.03028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32.72879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108</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67.03652</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32.75247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109</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67.04225</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32.76910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110</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67.04972</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32.78648</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111</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67.05613</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32.78216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112</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67.06143</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32.77255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113</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67.06634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32.74676</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67.06780</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32.72150</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115</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67.06448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32.70171</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116</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67.06728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32.68442</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117</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67.07650</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32.67469</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118</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67.08738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32.66464</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119</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67.08434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32.65737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120</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67.07899</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32.64795</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lastRenderedPageBreak/>
              <w:t>121</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67.07383</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32.63963</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122</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67.06857</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32.63174</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123</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67.05838</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32.62367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709"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67.04644</w:t>
            </w:r>
          </w:p>
        </w:tc>
        <w:tc>
          <w:tcPr>
            <w:tcW w:w="993"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32.61737</w:t>
            </w:r>
          </w:p>
        </w:tc>
        <w:tc>
          <w:tcPr>
            <w:tcW w:w="1134"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D57175" w:rsidTr="00B74487">
        <w:trPr>
          <w:jc w:val="center"/>
        </w:trPr>
        <w:tc>
          <w:tcPr>
            <w:tcW w:w="709" w:type="dxa"/>
            <w:tcBorders>
              <w:top w:val="single" w:sz="8" w:space="0" w:color="BEBEBE"/>
              <w:left w:val="single" w:sz="4" w:space="0" w:color="auto"/>
              <w:bottom w:val="single" w:sz="12" w:space="0" w:color="666666"/>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125</w:t>
            </w:r>
          </w:p>
        </w:tc>
        <w:tc>
          <w:tcPr>
            <w:tcW w:w="1134"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18.08.2024</w:t>
            </w:r>
          </w:p>
        </w:tc>
        <w:tc>
          <w:tcPr>
            <w:tcW w:w="1134"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67.03314</w:t>
            </w:r>
          </w:p>
        </w:tc>
        <w:tc>
          <w:tcPr>
            <w:tcW w:w="993" w:type="dxa"/>
            <w:tcBorders>
              <w:top w:val="single" w:sz="8" w:space="0" w:color="BEBEBE"/>
              <w:left w:val="single" w:sz="8" w:space="0" w:color="BEBEBE"/>
              <w:bottom w:val="single" w:sz="12" w:space="0" w:color="666666"/>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32.61028</w:t>
            </w:r>
          </w:p>
        </w:tc>
        <w:tc>
          <w:tcPr>
            <w:tcW w:w="1134" w:type="dxa"/>
            <w:tcBorders>
              <w:top w:val="single" w:sz="8" w:space="0" w:color="BEBEBE"/>
              <w:left w:val="single" w:sz="8" w:space="0" w:color="BEBEBE"/>
              <w:bottom w:val="single" w:sz="12" w:space="0" w:color="666666"/>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bl>
    <w:p w:rsidR="00B74487" w:rsidRDefault="00B74487">
      <w:pPr>
        <w:pStyle w:val="2"/>
        <w:sectPr w:rsidR="00B74487" w:rsidSect="00B74487">
          <w:type w:val="continuous"/>
          <w:pgSz w:w="12240" w:h="15840"/>
          <w:pgMar w:top="1134" w:right="850" w:bottom="1134" w:left="1701" w:header="720" w:footer="720" w:gutter="0"/>
          <w:cols w:num="2" w:space="720"/>
        </w:sectPr>
      </w:pPr>
      <w:bookmarkStart w:id="3" w:name="Xe2c4cb44f58d416a6be6075e06a4ca3fa0d829a"/>
      <w:bookmarkEnd w:id="0"/>
    </w:p>
    <w:p w:rsidR="00B74487" w:rsidRDefault="00B74487">
      <w:pPr>
        <w:pStyle w:val="2"/>
        <w:rPr>
          <w:lang w:val="ru-RU"/>
        </w:rPr>
      </w:pPr>
    </w:p>
    <w:p w:rsidR="00B74487" w:rsidRDefault="00B74487">
      <w:pPr>
        <w:pStyle w:val="2"/>
        <w:rPr>
          <w:lang w:val="ru-RU"/>
        </w:rPr>
      </w:pPr>
    </w:p>
    <w:p w:rsidR="00D57175" w:rsidRPr="00B74487" w:rsidRDefault="00B74487">
      <w:pPr>
        <w:pStyle w:val="2"/>
        <w:rPr>
          <w:lang w:val="ru-RU"/>
        </w:rPr>
      </w:pPr>
      <w:r w:rsidRPr="00B74487">
        <w:rPr>
          <w:lang w:val="ru-RU"/>
        </w:rPr>
        <w:t xml:space="preserve">Вертикальное распределение солености в Западной </w:t>
      </w:r>
      <w:proofErr w:type="spellStart"/>
      <w:r w:rsidRPr="00B74487">
        <w:rPr>
          <w:lang w:val="ru-RU"/>
        </w:rPr>
        <w:t>Ряжковой</w:t>
      </w:r>
      <w:proofErr w:type="spellEnd"/>
      <w:r w:rsidRPr="00B74487">
        <w:rPr>
          <w:lang w:val="ru-RU"/>
        </w:rPr>
        <w:t xml:space="preserve"> салме</w:t>
      </w:r>
    </w:p>
    <w:p w:rsidR="00D57175" w:rsidRDefault="00B74487">
      <w:pPr>
        <w:pStyle w:val="FirstParagraph"/>
      </w:pPr>
      <w:r>
        <w:t xml:space="preserve">Для описания вертикального распределения солености 18 августа 2024 г. была отобрана серия проб на гидрологическом разрезе, заложенном в непосредственной близости от буя №19 (N = 67.003216, E = </w:t>
      </w:r>
      <w:r>
        <w:t>32.554517), маркирующего подходной фарватер к порту “Витино”. Пробы отбирали с помощью переворачивающегося батометра Нансена во время малой воды, когда скорость течения в точке закладки разреза была минимальной. Отбор проб осуществляли, начиная с поверхнос</w:t>
      </w:r>
      <w:r>
        <w:t>ти, через 1 метр до уровня дна (Табл. +. 2). Для измерения солености применяли портативный рефрактометр.</w:t>
      </w:r>
    </w:p>
    <w:p w:rsidR="00B74487" w:rsidRDefault="00B74487">
      <w:pPr>
        <w:spacing w:after="0"/>
        <w:rPr>
          <w:i/>
          <w:lang w:val="ru-RU"/>
        </w:rPr>
      </w:pPr>
      <w:r>
        <w:rPr>
          <w:lang w:val="ru-RU"/>
        </w:rPr>
        <w:br w:type="page"/>
      </w:r>
    </w:p>
    <w:p w:rsidR="00D57175" w:rsidRDefault="00B7448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rsidRPr="00B74487">
        <w:rPr>
          <w:lang w:val="ru-RU"/>
        </w:rPr>
        <w:lastRenderedPageBreak/>
        <w:t>Таблица +.</w:t>
      </w:r>
      <w:proofErr w:type="gramStart"/>
      <w:r w:rsidRPr="00B74487">
        <w:rPr>
          <w:lang w:val="ru-RU"/>
        </w:rPr>
        <w:t>2  Соленость</w:t>
      </w:r>
      <w:proofErr w:type="gramEnd"/>
      <w:r w:rsidRPr="00B74487">
        <w:rPr>
          <w:lang w:val="ru-RU"/>
        </w:rPr>
        <w:t xml:space="preserve"> на разных уровнях глубин в августе 2024 г. в районе буя № 19, обозначающего подходной фарватер к порту «Витино». </w:t>
      </w:r>
      <w:r>
        <w:t>Salinity at dif</w:t>
      </w:r>
      <w:r>
        <w:t>ferent depth levels in August 2024 in the area of buoy No. 19 marking the approach fairway to the port of “Vitino”.</w:t>
      </w:r>
    </w:p>
    <w:tbl>
      <w:tblPr>
        <w:tblW w:w="0" w:type="auto"/>
        <w:jc w:val="center"/>
        <w:tblLayout w:type="fixed"/>
        <w:tblLook w:val="0420" w:firstRow="1" w:lastRow="0" w:firstColumn="0" w:lastColumn="0" w:noHBand="0" w:noVBand="1"/>
      </w:tblPr>
      <w:tblGrid>
        <w:gridCol w:w="1794"/>
        <w:gridCol w:w="1212"/>
      </w:tblGrid>
      <w:tr w:rsidR="00D57175" w:rsidTr="00B74487">
        <w:trPr>
          <w:tblHeader/>
          <w:jc w:val="center"/>
        </w:trPr>
        <w:tc>
          <w:tcPr>
            <w:tcW w:w="1794" w:type="dxa"/>
            <w:tcBorders>
              <w:top w:val="single" w:sz="12" w:space="0" w:color="666666"/>
              <w:left w:val="single" w:sz="4" w:space="0" w:color="auto"/>
              <w:bottom w:val="single" w:sz="12" w:space="0" w:color="666666"/>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 xml:space="preserve">Горизонт глубины </w:t>
            </w:r>
            <w:r>
              <w:rPr>
                <w:rFonts w:ascii="Arial" w:eastAsia="Arial" w:hAnsi="Arial" w:cs="Arial"/>
                <w:color w:val="000000"/>
                <w:sz w:val="16"/>
                <w:szCs w:val="16"/>
              </w:rPr>
              <w:br/>
              <w:t>от поверхности</w:t>
            </w:r>
          </w:p>
        </w:tc>
        <w:tc>
          <w:tcPr>
            <w:tcW w:w="1212" w:type="dxa"/>
            <w:tcBorders>
              <w:top w:val="single" w:sz="12" w:space="0" w:color="666666"/>
              <w:left w:val="single" w:sz="8" w:space="0" w:color="BEBEBE"/>
              <w:bottom w:val="single" w:sz="12" w:space="0" w:color="666666"/>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Соленость</w:t>
            </w:r>
          </w:p>
        </w:tc>
      </w:tr>
      <w:tr w:rsidR="00D57175" w:rsidTr="00B74487">
        <w:trPr>
          <w:jc w:val="center"/>
        </w:trPr>
        <w:tc>
          <w:tcPr>
            <w:tcW w:w="1794" w:type="dxa"/>
            <w:tcBorders>
              <w:top w:val="single" w:sz="12" w:space="0" w:color="666666"/>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0</w:t>
            </w:r>
          </w:p>
        </w:tc>
        <w:tc>
          <w:tcPr>
            <w:tcW w:w="1212" w:type="dxa"/>
            <w:tcBorders>
              <w:top w:val="single" w:sz="12" w:space="0" w:color="666666"/>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1794"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w:t>
            </w:r>
          </w:p>
        </w:tc>
        <w:tc>
          <w:tcPr>
            <w:tcW w:w="1212"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r>
      <w:tr w:rsidR="00D57175" w:rsidTr="00B74487">
        <w:trPr>
          <w:jc w:val="center"/>
        </w:trPr>
        <w:tc>
          <w:tcPr>
            <w:tcW w:w="1794"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w:t>
            </w:r>
          </w:p>
        </w:tc>
        <w:tc>
          <w:tcPr>
            <w:tcW w:w="1212"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1794"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w:t>
            </w:r>
          </w:p>
        </w:tc>
        <w:tc>
          <w:tcPr>
            <w:tcW w:w="1212"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r>
      <w:tr w:rsidR="00D57175" w:rsidTr="00B74487">
        <w:trPr>
          <w:jc w:val="center"/>
        </w:trPr>
        <w:tc>
          <w:tcPr>
            <w:tcW w:w="1794"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w:t>
            </w:r>
          </w:p>
        </w:tc>
        <w:tc>
          <w:tcPr>
            <w:tcW w:w="1212"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r>
      <w:tr w:rsidR="00D57175" w:rsidTr="00B74487">
        <w:trPr>
          <w:jc w:val="center"/>
        </w:trPr>
        <w:tc>
          <w:tcPr>
            <w:tcW w:w="1794"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w:t>
            </w:r>
          </w:p>
        </w:tc>
        <w:tc>
          <w:tcPr>
            <w:tcW w:w="1212"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w:t>
            </w:r>
          </w:p>
        </w:tc>
      </w:tr>
      <w:tr w:rsidR="00D57175" w:rsidTr="00B74487">
        <w:trPr>
          <w:jc w:val="center"/>
        </w:trPr>
        <w:tc>
          <w:tcPr>
            <w:tcW w:w="1794"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w:t>
            </w:r>
          </w:p>
        </w:tc>
        <w:tc>
          <w:tcPr>
            <w:tcW w:w="1212"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w:t>
            </w:r>
          </w:p>
        </w:tc>
      </w:tr>
      <w:tr w:rsidR="00D57175" w:rsidTr="00B74487">
        <w:trPr>
          <w:jc w:val="center"/>
        </w:trPr>
        <w:tc>
          <w:tcPr>
            <w:tcW w:w="1794"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7</w:t>
            </w:r>
          </w:p>
        </w:tc>
        <w:tc>
          <w:tcPr>
            <w:tcW w:w="1212"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w:t>
            </w:r>
          </w:p>
        </w:tc>
      </w:tr>
      <w:tr w:rsidR="00D57175" w:rsidTr="00B74487">
        <w:trPr>
          <w:jc w:val="center"/>
        </w:trPr>
        <w:tc>
          <w:tcPr>
            <w:tcW w:w="1794"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w:t>
            </w:r>
          </w:p>
        </w:tc>
        <w:tc>
          <w:tcPr>
            <w:tcW w:w="1212"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16</w:t>
            </w:r>
          </w:p>
        </w:tc>
      </w:tr>
      <w:tr w:rsidR="00D57175" w:rsidTr="00B74487">
        <w:trPr>
          <w:jc w:val="center"/>
        </w:trPr>
        <w:tc>
          <w:tcPr>
            <w:tcW w:w="1794"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9</w:t>
            </w:r>
          </w:p>
        </w:tc>
        <w:tc>
          <w:tcPr>
            <w:tcW w:w="1212"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w:t>
            </w:r>
          </w:p>
        </w:tc>
      </w:tr>
      <w:tr w:rsidR="00D57175" w:rsidTr="00B74487">
        <w:trPr>
          <w:jc w:val="center"/>
        </w:trPr>
        <w:tc>
          <w:tcPr>
            <w:tcW w:w="1794"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10</w:t>
            </w:r>
          </w:p>
        </w:tc>
        <w:tc>
          <w:tcPr>
            <w:tcW w:w="1212"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17</w:t>
            </w:r>
          </w:p>
        </w:tc>
      </w:tr>
      <w:tr w:rsidR="00D57175" w:rsidTr="00B74487">
        <w:trPr>
          <w:jc w:val="center"/>
        </w:trPr>
        <w:tc>
          <w:tcPr>
            <w:tcW w:w="1794"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11</w:t>
            </w:r>
          </w:p>
        </w:tc>
        <w:tc>
          <w:tcPr>
            <w:tcW w:w="1212"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w:t>
            </w:r>
          </w:p>
        </w:tc>
      </w:tr>
      <w:tr w:rsidR="00D57175" w:rsidTr="00B74487">
        <w:trPr>
          <w:jc w:val="center"/>
        </w:trPr>
        <w:tc>
          <w:tcPr>
            <w:tcW w:w="1794"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12</w:t>
            </w:r>
          </w:p>
        </w:tc>
        <w:tc>
          <w:tcPr>
            <w:tcW w:w="1212"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w:t>
            </w:r>
          </w:p>
        </w:tc>
      </w:tr>
      <w:tr w:rsidR="00D57175" w:rsidTr="00B74487">
        <w:trPr>
          <w:jc w:val="center"/>
        </w:trPr>
        <w:tc>
          <w:tcPr>
            <w:tcW w:w="1794" w:type="dxa"/>
            <w:tcBorders>
              <w:top w:val="single" w:sz="8" w:space="0" w:color="BEBEBE"/>
              <w:left w:val="single" w:sz="4" w:space="0" w:color="auto"/>
              <w:bottom w:val="single" w:sz="8" w:space="0" w:color="BEBEBE"/>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13</w:t>
            </w:r>
          </w:p>
        </w:tc>
        <w:tc>
          <w:tcPr>
            <w:tcW w:w="1212" w:type="dxa"/>
            <w:tcBorders>
              <w:top w:val="single" w:sz="8" w:space="0" w:color="BEBEBE"/>
              <w:left w:val="single" w:sz="8" w:space="0" w:color="BEBEBE"/>
              <w:bottom w:val="single" w:sz="8" w:space="0" w:color="BEBEBE"/>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18</w:t>
            </w:r>
          </w:p>
        </w:tc>
      </w:tr>
      <w:tr w:rsidR="00D57175" w:rsidTr="00B74487">
        <w:trPr>
          <w:jc w:val="center"/>
        </w:trPr>
        <w:tc>
          <w:tcPr>
            <w:tcW w:w="1794" w:type="dxa"/>
            <w:tcBorders>
              <w:top w:val="single" w:sz="8" w:space="0" w:color="BEBEBE"/>
              <w:left w:val="single" w:sz="4" w:space="0" w:color="auto"/>
              <w:bottom w:val="single" w:sz="12" w:space="0" w:color="666666"/>
              <w:right w:val="single" w:sz="8" w:space="0" w:color="BEBEBE"/>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w:t>
            </w:r>
          </w:p>
        </w:tc>
        <w:tc>
          <w:tcPr>
            <w:tcW w:w="1212" w:type="dxa"/>
            <w:tcBorders>
              <w:top w:val="single" w:sz="8" w:space="0" w:color="BEBEBE"/>
              <w:left w:val="single" w:sz="8" w:space="0" w:color="BEBEBE"/>
              <w:bottom w:val="single" w:sz="12" w:space="0" w:color="666666"/>
              <w:right w:val="single" w:sz="4" w:space="0" w:color="auto"/>
            </w:tcBorders>
            <w:shd w:val="clear" w:color="auto" w:fill="FFFFFF"/>
            <w:tcMar>
              <w:top w:w="0" w:type="dxa"/>
              <w:left w:w="0" w:type="dxa"/>
              <w:bottom w:w="0" w:type="dxa"/>
              <w:right w:w="0" w:type="dxa"/>
            </w:tcMar>
            <w:vAlign w:val="center"/>
          </w:tcPr>
          <w:p w:rsidR="00D57175" w:rsidRDefault="00B7448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20</w:t>
            </w:r>
          </w:p>
        </w:tc>
      </w:tr>
    </w:tbl>
    <w:p w:rsidR="00D57175" w:rsidRDefault="00B74487">
      <w:pPr>
        <w:pStyle w:val="a0"/>
      </w:pPr>
      <w:r>
        <w:t>Соленость закономерно увеличивалась от поверхности к придонным слоям (Рисунок 4). Заметного галоклина не выявляется, хотя на глубине 8 - 13 м происходит более резкое увеличение солености, чем на горизонте от нуля до 8 м.</w:t>
      </w:r>
    </w:p>
    <w:p w:rsidR="00D57175" w:rsidRDefault="00B74487" w:rsidP="00B74487">
      <w:pPr>
        <w:jc w:val="center"/>
      </w:pPr>
      <w:r>
        <w:rPr>
          <w:noProof/>
        </w:rPr>
        <w:drawing>
          <wp:inline distT="0" distB="0" distL="0" distR="0">
            <wp:extent cx="3451860" cy="2621280"/>
            <wp:effectExtent l="0" t="0" r="0" b="7620"/>
            <wp:docPr id="31" name="Picture" descr="Рисунок 4. Вертикальное распределение солености в Западной Ряжковой салме в августе 2024 г. MVertical distribution of salinity in the Western Ryazhkov Salm in August 2024."/>
            <wp:cNvGraphicFramePr/>
            <a:graphic xmlns:a="http://schemas.openxmlformats.org/drawingml/2006/main">
              <a:graphicData uri="http://schemas.openxmlformats.org/drawingml/2006/picture">
                <pic:pic xmlns:pic="http://schemas.openxmlformats.org/drawingml/2006/picture">
                  <pic:nvPicPr>
                    <pic:cNvPr id="32" name="Picture" descr="Khaitov_2024_surface_salinity_distribution_files/figure-docx/unnamed-chunk-9-1.png"/>
                    <pic:cNvPicPr>
                      <a:picLocks noChangeAspect="1" noChangeArrowheads="1"/>
                    </pic:cNvPicPr>
                  </pic:nvPicPr>
                  <pic:blipFill>
                    <a:blip r:embed="rId8"/>
                    <a:stretch>
                      <a:fillRect/>
                    </a:stretch>
                  </pic:blipFill>
                  <pic:spPr bwMode="auto">
                    <a:xfrm>
                      <a:off x="0" y="0"/>
                      <a:ext cx="3452220" cy="2621553"/>
                    </a:xfrm>
                    <a:prstGeom prst="rect">
                      <a:avLst/>
                    </a:prstGeom>
                    <a:noFill/>
                    <a:ln w="9525">
                      <a:noFill/>
                      <a:headEnd/>
                      <a:tailEnd/>
                    </a:ln>
                  </pic:spPr>
                </pic:pic>
              </a:graphicData>
            </a:graphic>
          </wp:inline>
        </w:drawing>
      </w:r>
    </w:p>
    <w:p w:rsidR="00D57175" w:rsidRPr="00B74487" w:rsidRDefault="00B74487">
      <w:pPr>
        <w:pStyle w:val="ImageCaption"/>
        <w:rPr>
          <w:sz w:val="20"/>
          <w:szCs w:val="20"/>
        </w:rPr>
      </w:pPr>
      <w:r w:rsidRPr="00B74487">
        <w:rPr>
          <w:b/>
          <w:bCs/>
          <w:sz w:val="20"/>
          <w:szCs w:val="20"/>
        </w:rPr>
        <w:t>Рисунок 4.</w:t>
      </w:r>
      <w:r w:rsidRPr="00B74487">
        <w:rPr>
          <w:sz w:val="20"/>
          <w:szCs w:val="20"/>
        </w:rPr>
        <w:t xml:space="preserve"> Вертикальное распредел</w:t>
      </w:r>
      <w:r w:rsidRPr="00B74487">
        <w:rPr>
          <w:sz w:val="20"/>
          <w:szCs w:val="20"/>
        </w:rPr>
        <w:t>ение солености в Западной Ряжковой салме в августе 2024 г. MVertical distribution of salinity in the Western Ryazhkov Salm in August 2024.</w:t>
      </w:r>
      <w:bookmarkEnd w:id="3"/>
    </w:p>
    <w:sectPr w:rsidR="00D57175" w:rsidRPr="00B74487" w:rsidSect="00B74487">
      <w:type w:val="continuous"/>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978691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D2AF3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B778B92"/>
    <w:multiLevelType w:val="singleLevel"/>
    <w:tmpl w:val="0B778B92"/>
    <w:lvl w:ilvl="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212C7B"/>
    <w:rsid w:val="00454FDB"/>
    <w:rsid w:val="004E29B3"/>
    <w:rsid w:val="00504A3C"/>
    <w:rsid w:val="0055521A"/>
    <w:rsid w:val="00590D07"/>
    <w:rsid w:val="00641B16"/>
    <w:rsid w:val="007160CD"/>
    <w:rsid w:val="00741042"/>
    <w:rsid w:val="00784D58"/>
    <w:rsid w:val="008D6863"/>
    <w:rsid w:val="00B74487"/>
    <w:rsid w:val="00B86B75"/>
    <w:rsid w:val="00BA7AFD"/>
    <w:rsid w:val="00BC48D5"/>
    <w:rsid w:val="00BD4F03"/>
    <w:rsid w:val="00C36279"/>
    <w:rsid w:val="00D1671F"/>
    <w:rsid w:val="00D24070"/>
    <w:rsid w:val="00D57175"/>
    <w:rsid w:val="00DE0ED3"/>
    <w:rsid w:val="00E315A3"/>
    <w:rsid w:val="00EA5C88"/>
    <w:rsid w:val="00F053D6"/>
    <w:rsid w:val="0ED03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4A13"/>
  <w15:docId w15:val="{F5ABB7AA-E93B-455A-A6FF-4D35FF53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ru-RU" w:eastAsia="ru-RU"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footnote text" w:uiPriority="9" w:unhideWhenUsed="1" w:qFormat="1"/>
    <w:lsdException w:name="Title" w:qFormat="1"/>
    <w:lsdException w:name="Default Paragraph Font" w:semiHidden="1" w:uiPriority="1" w:unhideWhenUsed="1"/>
    <w:lsdException w:name="Body Text" w:qFormat="1"/>
    <w:lsdException w:name="Subtitle"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200"/>
    </w:pPr>
    <w:rPr>
      <w:sz w:val="24"/>
      <w:szCs w:val="24"/>
      <w:lang w:val="en-US"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BA7AFD"/>
    <w:pPr>
      <w:keepNext/>
      <w:keepLines/>
      <w:spacing w:before="200" w:after="0"/>
      <w:jc w:val="center"/>
      <w:outlineLvl w:val="1"/>
    </w:pPr>
    <w:rPr>
      <w:rFonts w:ascii="Times New Roman" w:eastAsiaTheme="majorEastAsia" w:hAnsi="Times New Roman" w:cstheme="majorBidi"/>
      <w:b/>
      <w:bCs/>
      <w:color w:val="000000" w:themeColor="text1"/>
      <w:szCs w:val="32"/>
    </w:rPr>
  </w:style>
  <w:style w:type="paragraph" w:styleId="3">
    <w:name w:val="heading 3"/>
    <w:basedOn w:val="a"/>
    <w:next w:val="a0"/>
    <w:uiPriority w:val="9"/>
    <w:unhideWhenUsed/>
    <w:qFormat/>
    <w:rsid w:val="00641B16"/>
    <w:pPr>
      <w:keepNext/>
      <w:keepLines/>
      <w:spacing w:before="200" w:after="0"/>
      <w:jc w:val="center"/>
      <w:outlineLvl w:val="2"/>
    </w:pPr>
    <w:rPr>
      <w:rFonts w:ascii="Times New Roman" w:eastAsiaTheme="majorEastAsia" w:hAnsi="Times New Roman" w:cstheme="majorBidi"/>
      <w:b/>
      <w:bCs/>
      <w:i/>
      <w:color w:val="000000" w:themeColor="text1"/>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ind w:firstLine="720"/>
      <w:jc w:val="both"/>
    </w:pPr>
    <w:rPr>
      <w:rFonts w:ascii="Times New Roman" w:hAnsi="Times New Roman" w:cs="Times New Roman"/>
      <w:sz w:val="20"/>
      <w:szCs w:val="20"/>
      <w:lang w:val="ru-RU"/>
    </w:rPr>
  </w:style>
  <w:style w:type="character" w:styleId="a4">
    <w:name w:val="footnote reference"/>
    <w:basedOn w:val="a5"/>
    <w:rPr>
      <w:vertAlign w:val="superscript"/>
    </w:rPr>
  </w:style>
  <w:style w:type="character" w:customStyle="1" w:styleId="a5">
    <w:name w:val="Название объекта Знак"/>
    <w:basedOn w:val="a1"/>
    <w:link w:val="a6"/>
  </w:style>
  <w:style w:type="paragraph" w:styleId="a6">
    <w:name w:val="caption"/>
    <w:basedOn w:val="a"/>
    <w:next w:val="a"/>
    <w:link w:val="a5"/>
    <w:pPr>
      <w:spacing w:after="120"/>
    </w:pPr>
    <w:rPr>
      <w:i/>
    </w:rPr>
  </w:style>
  <w:style w:type="character" w:styleId="a7">
    <w:name w:val="Hyperlink"/>
    <w:basedOn w:val="a5"/>
    <w:qFormat/>
    <w:rPr>
      <w:color w:val="4F81BD" w:themeColor="accent1"/>
    </w:rPr>
  </w:style>
  <w:style w:type="paragraph" w:styleId="a8">
    <w:name w:val="footnote text"/>
    <w:basedOn w:val="a"/>
    <w:uiPriority w:val="9"/>
    <w:unhideWhenUsed/>
    <w:qFormat/>
  </w:style>
  <w:style w:type="paragraph" w:styleId="a9">
    <w:name w:val="Date"/>
    <w:next w:val="a0"/>
    <w:qFormat/>
    <w:pPr>
      <w:keepNext/>
      <w:keepLines/>
      <w:spacing w:after="200"/>
      <w:jc w:val="center"/>
    </w:pPr>
    <w:rPr>
      <w:sz w:val="24"/>
      <w:szCs w:val="24"/>
      <w:lang w:val="en-US" w:eastAsia="en-US"/>
    </w:rPr>
  </w:style>
  <w:style w:type="paragraph" w:styleId="aa">
    <w:name w:val="Title"/>
    <w:basedOn w:val="2"/>
    <w:next w:val="a0"/>
    <w:qFormat/>
    <w:rPr>
      <w:rFonts w:cs="Times New Roman"/>
      <w:caps/>
      <w:color w:val="auto"/>
      <w:sz w:val="20"/>
      <w:szCs w:val="20"/>
      <w:lang w:val="ru-RU"/>
    </w:rPr>
  </w:style>
  <w:style w:type="paragraph" w:styleId="ab">
    <w:name w:val="Subtitle"/>
    <w:basedOn w:val="aa"/>
    <w:next w:val="a0"/>
    <w:qFormat/>
    <w:pPr>
      <w:spacing w:before="240" w:after="240"/>
    </w:pPr>
    <w:rPr>
      <w:sz w:val="30"/>
      <w:szCs w:val="30"/>
    </w:rPr>
  </w:style>
  <w:style w:type="paragraph" w:styleId="ac">
    <w:name w:val="Block Text"/>
    <w:basedOn w:val="a0"/>
    <w:next w:val="a0"/>
    <w:uiPriority w:val="9"/>
    <w:unhideWhenUsed/>
    <w:qFormat/>
    <w:pPr>
      <w:spacing w:before="100" w:after="100"/>
      <w:ind w:firstLine="0"/>
    </w:pPr>
    <w:rPr>
      <w:rFonts w:asciiTheme="majorHAnsi" w:eastAsiaTheme="majorEastAsia" w:hAnsiTheme="majorHAnsi" w:cstheme="majorBidi"/>
      <w:bCs/>
    </w:rPr>
  </w:style>
  <w:style w:type="paragraph" w:customStyle="1" w:styleId="FirstParagraph">
    <w:name w:val="First Paragraph"/>
    <w:basedOn w:val="a0"/>
    <w:next w:val="a0"/>
    <w:qFormat/>
  </w:style>
  <w:style w:type="paragraph" w:customStyle="1" w:styleId="Compact">
    <w:name w:val="Compact"/>
    <w:basedOn w:val="a0"/>
    <w:qFormat/>
    <w:pPr>
      <w:spacing w:before="36" w:after="36"/>
      <w:ind w:firstLine="0"/>
      <w:jc w:val="left"/>
    </w:pPr>
    <w:rPr>
      <w:sz w:val="16"/>
      <w:szCs w:val="16"/>
    </w:rPr>
  </w:style>
  <w:style w:type="paragraph" w:customStyle="1" w:styleId="Author">
    <w:name w:val="Author"/>
    <w:next w:val="a0"/>
    <w:qFormat/>
    <w:pPr>
      <w:keepNext/>
      <w:keepLines/>
      <w:spacing w:after="200"/>
      <w:jc w:val="center"/>
    </w:pPr>
    <w:rPr>
      <w:lang w:eastAsia="en-US"/>
    </w:rPr>
  </w:style>
  <w:style w:type="paragraph" w:customStyle="1" w:styleId="Abstract">
    <w:name w:val="Abstract"/>
    <w:basedOn w:val="a0"/>
    <w:next w:val="a0"/>
    <w:qFormat/>
    <w:rPr>
      <w:sz w:val="16"/>
      <w:szCs w:val="16"/>
    </w:rPr>
  </w:style>
  <w:style w:type="paragraph" w:customStyle="1" w:styleId="10">
    <w:name w:val="Список литературы1"/>
    <w:basedOn w:val="a"/>
    <w:qFormat/>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style>
  <w:style w:type="paragraph" w:customStyle="1" w:styleId="TableCaption">
    <w:name w:val="Table Caption"/>
    <w:basedOn w:val="a6"/>
    <w:qFormat/>
    <w:pPr>
      <w:keepNext/>
    </w:pPr>
  </w:style>
  <w:style w:type="paragraph" w:customStyle="1" w:styleId="ImageCaption">
    <w:name w:val="Image Caption"/>
    <w:basedOn w:val="a6"/>
  </w:style>
  <w:style w:type="paragraph" w:customStyle="1" w:styleId="Figure">
    <w:name w:val="Figure"/>
    <w:basedOn w:val="a"/>
    <w:qFormat/>
  </w:style>
  <w:style w:type="paragraph" w:customStyle="1" w:styleId="FigurewithCaption">
    <w:name w:val="Figure with Caption"/>
    <w:basedOn w:val="Figure"/>
    <w:qFormat/>
    <w:pPr>
      <w:keepNext/>
    </w:pPr>
  </w:style>
  <w:style w:type="character" w:customStyle="1" w:styleId="VerbatimChar">
    <w:name w:val="Verbatim Char"/>
    <w:basedOn w:val="a5"/>
    <w:link w:val="SourceCode"/>
    <w:rPr>
      <w:rFonts w:ascii="Consolas" w:hAnsi="Consolas"/>
      <w:sz w:val="22"/>
    </w:rPr>
  </w:style>
  <w:style w:type="paragraph" w:customStyle="1" w:styleId="SourceCode">
    <w:name w:val="Source Code"/>
    <w:basedOn w:val="a"/>
    <w:link w:val="VerbatimChar"/>
    <w:pPr>
      <w:shd w:val="clear" w:color="auto" w:fill="F8F8F8"/>
      <w:wordWrap w:val="0"/>
    </w:pPr>
  </w:style>
  <w:style w:type="paragraph" w:customStyle="1" w:styleId="11">
    <w:name w:val="Заголовок оглавления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Распределение солености в акватории вершины Кандалакшского залива летом 2024 года</dc:title>
  <dc:creator>В. М. Хайтов</dc:creator>
  <cp:keywords/>
  <cp:lastModifiedBy>User</cp:lastModifiedBy>
  <cp:revision>2</cp:revision>
  <dcterms:created xsi:type="dcterms:W3CDTF">2025-03-09T15:20:00Z</dcterms:created>
  <dcterms:modified xsi:type="dcterms:W3CDTF">2025-03-09T15:38:00Z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Распределение солености в акватории вершины Кандалакшского залива летом 2024 года // Толмачева Е. Л. (ред.) Летопись природы Кадалакшского заповедника за 2024 год (ежегодный отчет). Кандалакша. Т.1 (Летопись природы Кандалакшского заповедника</vt:lpwstr>
  </property>
  <property fmtid="{D5CDD505-2E9C-101B-9397-08002B2CF9AE}" pid="3" name="output">
    <vt:lpwstr/>
  </property>
</Properties>
</file>