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shd w:val="clear" w:fill="FFFFFF"/>
          <w:lang w:val="ru-RU"/>
        </w:rPr>
      </w:pPr>
      <w:r>
        <w:rPr>
          <w:rFonts w:hint="default" w:ascii="Arial" w:hAnsi="Arial" w:cs="Arial"/>
          <w:i w:val="0"/>
          <w:color w:val="262626"/>
          <w:spacing w:val="0"/>
          <w:sz w:val="18"/>
          <w:szCs w:val="18"/>
          <w:shd w:val="clear" w:fill="FFFFFF"/>
          <w:lang w:val="ru-RU"/>
        </w:rPr>
        <w:t>О</w:t>
      </w:r>
      <w:r>
        <w:rPr>
          <w:rFonts w:hint="default" w:ascii="Arial" w:hAnsi="Arial" w:cs="Arial"/>
          <w:i w:val="0"/>
          <w:caps w:val="0"/>
          <w:color w:val="262626"/>
          <w:spacing w:val="0"/>
          <w:sz w:val="18"/>
          <w:szCs w:val="18"/>
          <w:shd w:val="clear" w:fill="FFFFFF"/>
          <w:lang w:val="ru-RU"/>
        </w:rPr>
        <w:t>т Вайнолы</w:t>
      </w:r>
    </w:p>
    <w:p>
      <w:pPr>
        <w:keepNext w:val="0"/>
        <w:keepLines w:val="0"/>
        <w:widowControl/>
        <w:suppressLineNumbers w:val="0"/>
        <w:shd w:val="clear" w:fill="FFFFFF"/>
        <w:ind w:left="0" w:firstLine="0"/>
        <w:jc w:val="left"/>
        <w:rPr>
          <w:rFonts w:ascii="Calibri" w:hAnsi="Calibri" w:cs="Calibri"/>
          <w:i w:val="0"/>
          <w:iCs w:val="0"/>
          <w:caps w:val="0"/>
          <w:color w:val="000000"/>
          <w:spacing w:val="0"/>
          <w:sz w:val="19"/>
          <w:szCs w:val="19"/>
        </w:rPr>
      </w:pPr>
      <w:r>
        <w:rPr>
          <w:rFonts w:hint="default" w:ascii="Calibri" w:hAnsi="Calibri" w:eastAsia="SimSun" w:cs="Calibri"/>
          <w:i w:val="0"/>
          <w:iCs w:val="0"/>
          <w:caps w:val="0"/>
          <w:color w:val="000000"/>
          <w:spacing w:val="0"/>
          <w:kern w:val="0"/>
          <w:sz w:val="19"/>
          <w:szCs w:val="19"/>
          <w:shd w:val="clear" w:fill="FFFFFF"/>
          <w:lang w:val="en-US" w:eastAsia="zh-CN" w:bidi="ar"/>
        </w:rPr>
        <w:t>Fine to see the basically positive (enthusiastic?) response.  Yet I guess the concerns of (ref 2) are basically similar to those of mine, and it is hard to see how to maintain the +/- elegant analytical approach and simultaneously allow more variability in the dependent and idependt variables.  If the diagnostic test (&gt;morphotype test) is only designed for binary characters, and the idea is to promote this approach because its simplicity, how to include a third category [even if there would be an equivalent three-category model, that would not demonstrate the ease of use of this modeling]. The other way might be to try different thresholds for a binary character, and treat separately test for "pure trossulus" (e.g. &gt; 80%) and correspondingly for pure edulis.  It would also add to the confusion, and require explanation of why such thresholds are meaningful.   I am sorry I cannot help with this, and it is also hard to predict what would be the response of referees, if the modelin approach would be dropped to a secondary role and the emphasis put on the more trivial description of the observed patterns (as I would initially have preferred).</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shd w:val="clear" w:fill="FFFFFF"/>
          <w:lang w:val="ru-RU"/>
        </w:rPr>
      </w:pPr>
      <w:bookmarkStart w:id="0" w:name="_GoBack"/>
      <w:bookmarkEnd w:id="0"/>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shd w:val="clear" w:fill="FFFFFF"/>
        </w:rPr>
      </w:pP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shd w:val="clear" w:fill="FFFFFF"/>
        </w:rPr>
      </w:pP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shd w:val="clear" w:fill="FFFFFF"/>
        </w:rPr>
      </w:pPr>
    </w:p>
    <w:p>
      <w:pPr>
        <w:pStyle w:val="7"/>
        <w:keepNext w:val="0"/>
        <w:keepLines w:val="0"/>
        <w:widowControl/>
        <w:suppressLineNumbers w:val="0"/>
        <w:shd w:val="clear" w:fill="FFFFFF"/>
        <w:spacing w:before="0" w:beforeAutospacing="0" w:after="0" w:afterAutospacing="0"/>
        <w:ind w:left="0" w:right="0" w:firstLine="0"/>
        <w:rPr>
          <w:rFonts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PONE-D-20-30389</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Species identification based on a semi-diagnostic marker: evaluation of a simple conchological test for distinguishing blue mussels Mytilus edulis L. and M. trossulus Gould</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PLOS ONE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Dear Dr. Khaitov,</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While both reviewer are excited about the general idea behind this study, both are concerned about methodological approaches (allozyme markers that are not fully diagnostic) and lack of discussion of the hybrid status of many mussel populations / species concept in mytilid mussels. I would suggest to follow the reviewers' advice to incorporate a hybrid category in your analysis and, potentially, to re-analyze parts of the data using diagnostic DNA markers, if possible. All underlying sequence data should be deposited in publicly available databases.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Please submit your revised manuscript by Jan 24 2021 11:59PM. If you will need more time than this to complete your revisions, please reply to this message or contact the journal office at plosone@plos.org. When you're ready to submit your revision, log on to https://www.editorialmanager.com/pone/ and select the 'Submissions Needing Revision' folder to locate your manuscript file.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Please include the following items when submitting your revised manuscript: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cs="Arial"/>
          <w:i w:val="0"/>
          <w:caps w:val="0"/>
          <w:color w:val="262626"/>
          <w:spacing w:val="0"/>
          <w:sz w:val="18"/>
          <w:szCs w:val="18"/>
          <w:shd w:val="clear" w:fill="FFFFFF"/>
        </w:rPr>
        <w:t>A rebuttal letter that responds to each point raised by the academic editor and reviewer(s). You should upload this letter as a separate file labeled 'Response to Reviewers'.</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cs="Arial"/>
          <w:i w:val="0"/>
          <w:caps w:val="0"/>
          <w:color w:val="262626"/>
          <w:spacing w:val="0"/>
          <w:sz w:val="18"/>
          <w:szCs w:val="18"/>
          <w:shd w:val="clear" w:fill="FFFFFF"/>
        </w:rPr>
        <w:t>A marked-up copy of your manuscript that highlights changes made to the original version. You should upload this as a separate file labeled 'Revised Manuscript with Track Changes'.</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cs="Arial"/>
          <w:i w:val="0"/>
          <w:caps w:val="0"/>
          <w:color w:val="262626"/>
          <w:spacing w:val="0"/>
          <w:sz w:val="18"/>
          <w:szCs w:val="18"/>
          <w:shd w:val="clear" w:fill="FFFFFF"/>
        </w:rPr>
        <w:t>An unmarked version of your revised paper without tracked changes. You should upload this as a separate file labeled 'Manuscript'.</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If you would like to make changes to your financial disclosure, please include your updated statement in your cover letter. Guidelines for resubmitting your figure files are available below the reviewer comments at the end of this letter.</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If applicable, we recommend that you deposit your laboratory protocols in protocols.io to enhance the reproducibility of your results. Protocols.io assigns your protocol its own identifier (DOI) so that it can be cited independently in the future. For instructions see: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"http://journals.plos.org/plosone/s/submission-guidelines" \l "loc-laboratory-protocols"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http://journals.plos.org/plosone/s/submission-guidelines#loc-laboratory-protocols</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We look forward to receiving your revised manuscript.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Kind regards,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Frank Melzner</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Academic Editor</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PLOS ONE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Journal Requirements:</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27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When submitting your revision, we need you to address these additional requirements.</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1. Please ensure that your manuscript meets PLOS ONE's style requirements, including those for file naming. The PLOS ONE style templates can be found at</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https://journals.plos.org/plosone/s/file?id=wjVg/PLOSOne_formatting_sample_main_body.pdf and</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https://journals.plos.org/plosone/s/file?id=ba62/PLOSOne_formatting_sample_title_authors_affiliations.pdf</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2. We note that you have included the phrase “data not shown” in your manuscript. 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Figshare or Dryad) and provide and URLs, DOIs, or accession numbers that may be used to access these data. Or, if the data are not a core part of the research being presented in your study, we ask that you remove the phrase that refers to these data.</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3.We note that [Figure(s) 1] in your submission contain map/satellite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http://journals.plos.org/plosone/s/licenses-and-copyright.</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We require you to either (1) present written permission from the copyright holder to publish these figures specifically under the CC BY 4.0 license, or (2) remove the figures from your submission:</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1.    You may seek permission from the original copyright holder of Figure(s) [1] to publish the content specifically under the CC BY 4.0 license.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We recommend that you contact the original copyright holder with the Content Permission Form (http://journals.plos.org/plosone/s/file?id=7c09/content-permission-form.pdf) and the following text:</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“I request permission for the open-access journal PLOS ONE to publish XXX under the Creative Commons Attribution License (CCAL) CC BY 4.0 (http://creativecommons.org/licenses/by/4.0/). Please be aware that this license allows unrestricted use and distribution, even commercially, by third parties. Please reply and provide explicit written permission to publish XXX under a CC BY license and complete the attached form.”</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Please upload the completed Content Permission Form or other proof of granted permissions as an "Other" file with your submission.</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In the figure caption of the copyrighted figure, please include the following text: “Reprinted from [ref] under a CC BY license, with permission from [name of publisher], original copyright [original copyright year].”</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2.    If you are unable to obtain permission from the original copyright holder to publish these figures under the CC BY 4.0 license or if the copyright holder’s requirements are incompatible with the CC BY 4.0 license, please either i)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The following resources for replacing copyrighted map figures may be helpful:</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USGS National Map Viewer (public domain): http://viewer.nationalmap.gov/viewer/</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The Gateway to Astronaut Photography of Earth (public domain): http://eol.jsc.nasa.gov/sseop/clickmap/</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Maps at the CIA (public domain): https://www.cia.gov/library/publications/the-world-factbook/index.html and https://www.cia.gov/library/publications/cia-maps-publications/index.html</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NASA Earth Observatory (public domain): http://earthobservatory.nasa.gov/</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Landsat: http://landsat.visibleearth.nasa.gov/</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USGS EROS (Earth Resources Observatory and Science (EROS) Center) (public domain): http://eros.usgs.gov/#</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Natural Earth (public domain): http://www.naturalearthdata.com/</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4. Please include captions for your Supporting Information files at the end of your manuscript, and update any in-text citations to match accordingly. Please see our Supporting Information guidelines for more information: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"https://mail.rambler.ru/folder/INBOX/INBOX_74164/"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http://journals.plos.org/plosone/s/supporting-information</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t>.</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[Note: HTML markup is below. Please do not edit.]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Reviewers' comments: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Reviewer's Responses to Questions</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b/>
          <w:i w:val="0"/>
          <w:caps w:val="0"/>
          <w:color w:val="000000"/>
          <w:spacing w:val="0"/>
          <w:sz w:val="18"/>
          <w:szCs w:val="18"/>
          <w:shd w:val="clear" w:fill="FFFFFF"/>
        </w:rPr>
        <w:t>Comments to the Author</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1. Is the manuscript technically sound, and do the data support the conclusions?</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Partly</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Partly</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5"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2. Has the statistical analysis been performed appropriately and rigorously?</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Yes</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Yes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6"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3. Have the authors made all data underlying the findings in their manuscript fully available?</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The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"http://www.plosone.org/static/policies.action" \l "sharing"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PLOS Data policy</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000000"/>
          <w:spacing w:val="0"/>
          <w:sz w:val="18"/>
          <w:szCs w:val="18"/>
          <w:shd w:val="clear" w:fill="FFFFFF"/>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No</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Yes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7"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4. Is the manuscript presented in an intelligible fashion and written in standard English?</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PLOS ONE does not copyedit accepted manuscripts, so the language in submitted articles must be clear, correct, and unambiguous. Any typographical or grammatical errors should be corrected at revision, so please note any specific errors here.</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Yes</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Yes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8"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5. Review Comments to the Author</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This is an interesting manuscript describing a new semi-diagnostic character that could be used to roughly distinguish between the two mussel species Mytilus edulis and Mytilus trossulus in the field without the need for genotyping. I want to commend the authors for collecting this broad sample set. The analyses are in my opinion well done, although I had a few questions and concerns, especially regarding the use of allozyme markers and the lack of available raw data, that should be addressed.</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The manuscript is a bit long. Sometimes it is hard to follow what was done.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L94: unambiguous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L191: Mussels in the Baltic Sea represent a hybrid swarm and are not pure M. trossulus. This is explained later in the discussion, but I think this should be recognized already here.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L198: I did not find a table with the allozyme and SNP genotypes and also no accession numbers for Illumina sequence data for samples that were new to this study. Could you please provide and deposit the raw data for full reproducibility? I think the input STRUCTURE files should be provided as well.</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L203: Why were the allozyme markers used? These markers are also only partially diagnostic and provide less resolution than multilocus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samples.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L269: What does a few genotyped samples mean? Please specify the sample size for this analysis.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study.</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L309-323: This seems redundant. Can you merge this section with the one on the Kola Peninsula?</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L601-603: I don’t think this statement is justified. Mytilus species have emerged as a non-model system for hybrid zone research, so for many scientists knowing the exact genotype composition is very important. I would soften this statement.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L672: links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L728: But probably there are some published data on salinity for those locations, even though it was not measured in this study?</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Species identification based on a semi-diagnostic marker: evaluation of a simple conchological test for distinguishing blue mussels Mytilus edulis L. and M. trossulus Gould</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PONE-D-20-30389</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Khaitov et al.</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manuscript is concerned with the diagnosis of two species (Mytilus edulis, M. trossulus) that are difficult to distinguish based on morphological characters for several reason. For instance, there is a general lack of phenotypic characters in these closely related bivalves, there is large phenotypic plasticity and there is extensive interspecific gene flow. The current taxonomic status of both species is derived from multi-trait investigations of mussel shells and genetic analyses (basically allozyme investigations). Additional support comes from the fact that both species are show ecological differentiation. Despite of ecological and phenotypic differentiation, they are considered part of the Mytilus edulis species complex together with M. galloprovincialis. Given the great importance of mytilid mussels for marine science (they represent up to 90% of the benthic biomass and hence shape marine ecosystems), an easy-to-apply diagnostic marker would be more than desirable for research. This is the justification of the study presented by Khaitov et al.! The authors follow previous investigations in the White Sea and test the “dark stripe” as a semi-diagnostic shell morphological character. There aim is to investigate, whether this trait is diagnostic in all marine environments. The authors apply a mathematical approach that is common on medicine where semi-diagnostic characters are commonly used for diagnosis. Both, the scientific question and the innovative approach makes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Species concept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My first question concerns the species concept behind the study. The authors use either allozymes or DNA markers for a priori species identification. To my understanding, this is used to calculate the Ptros-parameter. Although many of the populations are situated in hybrid zones, the individuals are either classified as M. edulis or as M. trossulus. For instance, STRUCTURE-q values (which represent hybrid indices) are used for a priori species diagnosis and the threshold is 0.5 (lines 214 to 215). This means, the authors classify F1 hybrid like individuals and early-backcross-generations as one or the other species. Furthermore, species diagnostic allozymes may mask the extend of genetic admixture at other genomic loci, e.g. in the Baltic.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considered. This paragraph already suggests that the pronounced hybrid character of these populations make the approach used in this manuscript doubtful.</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“dark stripe character” in obvious hybrid individuals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an information?</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Morphological characters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Just a question: Is the presence/absence of the “dark stripe” the basis for PT (T-morphotype)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Taxonomic structure of populations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 like the idea that the taxonomic structure of a population might be more important for some scientific questions than the genetic affinity of a given mussel (lines 601-603). However, I do not see the reason why mussels in a mixed population should be identified as either M. trossulus or M. edulis (lines 612-615). Again, why is a status of being a hybrid not considered? Hybrids may have properties that allow surviving in extreme marine environments and Hybrids are the rule (not the exception) in mytilid mussel contact zones.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Length of the discussion</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discussion takes 12.5 pages and is overly long to my opinion. I feel that it need to be shortened substantially. This particularly refers to the part from line 747 to 876 (= 6 pages). I recommend summarizing the applications and the limitations of the morphotype test in a concise way.</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Terminology</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parameters Ptros, PT, P(E/edu), P(T/tros), P(tros/T), P(edu/E) are parts of the calculations and the abbreviations are justified and logic. However, it is hard to keep the overview about their meaning. I ask the authors to give the short explanations (as in lines 229-236) as often as possible to help the readers.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9"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6. PLOS authors have the option to publish the peer review history of their article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"https://journals.plos.org/plosone/s/editorial-and-peer-review-process" \l "loc-peer-review-history"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what does this mean?</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000000"/>
          <w:spacing w:val="0"/>
          <w:sz w:val="18"/>
          <w:szCs w:val="18"/>
          <w:shd w:val="clear" w:fill="FFFFFF"/>
        </w:rPr>
        <w:t>). If published, this will include your full peer review and any attached files.</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If you choose “no”, your identity will remain anonymous but your review may still be made public.</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b/>
          <w:i w:val="0"/>
          <w:caps w:val="0"/>
          <w:color w:val="000000"/>
          <w:spacing w:val="0"/>
          <w:sz w:val="18"/>
          <w:szCs w:val="18"/>
          <w:shd w:val="clear" w:fill="FFFFFF"/>
        </w:rPr>
        <w:t>Do you want your identity to be public for this peer review?</w:t>
      </w:r>
      <w:r>
        <w:rPr>
          <w:rFonts w:hint="default" w:ascii="Arial" w:hAnsi="Arial" w:cs="Arial"/>
          <w:i w:val="0"/>
          <w:caps w:val="0"/>
          <w:color w:val="000000"/>
          <w:spacing w:val="0"/>
          <w:sz w:val="18"/>
          <w:szCs w:val="18"/>
          <w:shd w:val="clear" w:fill="FFFFFF"/>
        </w:rPr>
        <w:t> For information about this choice, including consent withdrawal, please see our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"https://www.plos.org/privacy-policy"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Privacy Policy</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000000"/>
          <w:spacing w:val="0"/>
          <w:sz w:val="18"/>
          <w:szCs w:val="18"/>
          <w:shd w:val="clear" w:fill="FFFFFF"/>
        </w:rPr>
        <w:t>.</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No</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No</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While revising your submission, please upload your figure files to the Preflight Analysis and Conversion Engine (PACE) digital diagnostic tool,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"https://pacev2.apexcovantage.com/"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https://pacev2.apexcovantage.com/</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"https://mail.rambler.ru/" \l "/compose/to=figures@plos.org"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figures@plos.org</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t>. Please note that Supporting Information files do not need this step.</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ABC6D7"/>
    <w:multiLevelType w:val="multilevel"/>
    <w:tmpl w:val="78ABC6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FC"/>
    <w:rsid w:val="00050A31"/>
    <w:rsid w:val="000657E6"/>
    <w:rsid w:val="000716D2"/>
    <w:rsid w:val="00071AAB"/>
    <w:rsid w:val="00082D67"/>
    <w:rsid w:val="000A4F11"/>
    <w:rsid w:val="000B76C4"/>
    <w:rsid w:val="000C5610"/>
    <w:rsid w:val="000D0CFC"/>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870BBA"/>
    <w:rsid w:val="3D2E204C"/>
    <w:rsid w:val="47A2394F"/>
    <w:rsid w:val="4A6F351F"/>
    <w:rsid w:val="57610B92"/>
    <w:rsid w:val="5B72652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2"/>
    <w:basedOn w:val="1"/>
    <w:next w:val="1"/>
    <w:link w:val="8"/>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8">
    <w:name w:val="Заголовок 2 Знак"/>
    <w:basedOn w:val="4"/>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2020-12-21T17:49:00Z</dcterms:created>
  <dc:creator>Vadim Khaitov</dc:creator>
  <cp:lastModifiedBy>Vadim Khaitov</cp:lastModifiedBy>
  <dcterms:modified xsi:type="dcterms:W3CDTF">2021-01-05T14:38:31Z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1049-11.2.0.9906</vt:lpwstr>
  </property>
</Properties>
</file>