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Итого. В качестве данных для тестового датасета взяты следующие популяции (см. таблицу). Для BL критерием отбора было то, что мидии собраны за пределами Кольского залива в эстуариях рек, для BH - за пределами Кольского залива но без заметного опреснения, для W - отобрано 4 популяции, в которых Ptros была близка к 0.2, 0.4, 0.6 и 0.8. Все эти данные НЕ будут участвовать в процессе подбора парамeтров регерссионных моделей.</w:t>
      </w:r>
    </w:p>
    <w:p>
      <w:pPr>
        <w:pStyle w:val="11"/>
      </w:pPr>
      <w:r>
        <w:t>Table ++. Characteristics of testing data set.</w:t>
      </w:r>
    </w:p>
    <w:tbl>
      <w:tblPr>
        <w:tblStyle w:val="26"/>
        <w:tblW w:w="10186" w:type="dxa"/>
        <w:tblInd w:w="0" w:type="dxa"/>
        <w:tblLayout w:type="fixed"/>
        <w:tblCellMar>
          <w:top w:w="0" w:type="dxa"/>
          <w:left w:w="108" w:type="dxa"/>
          <w:bottom w:w="0" w:type="dxa"/>
          <w:right w:w="108" w:type="dxa"/>
        </w:tblCellMar>
      </w:tblPr>
      <w:tblGrid>
        <w:gridCol w:w="1297"/>
        <w:gridCol w:w="1631"/>
        <w:gridCol w:w="1523"/>
        <w:gridCol w:w="1523"/>
        <w:gridCol w:w="1523"/>
        <w:gridCol w:w="1523"/>
        <w:gridCol w:w="1166"/>
      </w:tblGrid>
      <w:tr>
        <w:tblPrEx>
          <w:tblLayout w:type="fixed"/>
          <w:tblCellMar>
            <w:top w:w="0" w:type="dxa"/>
            <w:left w:w="108" w:type="dxa"/>
            <w:bottom w:w="0" w:type="dxa"/>
            <w:right w:w="108" w:type="dxa"/>
          </w:tblCellMar>
        </w:tblPrEx>
        <w:tc>
          <w:tcPr>
            <w:tcW w:w="129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631"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N_Tm_T</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N_Em_T</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N_Tm_E</w:t>
            </w:r>
          </w:p>
        </w:tc>
        <w:tc>
          <w:tcPr>
            <w:tcW w:w="152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N_Em_E</w:t>
            </w:r>
          </w:p>
        </w:tc>
        <w:tc>
          <w:tcPr>
            <w:tcW w:w="1166"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chupa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22</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0.70</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kovda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rya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28</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0.38</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umba_pil</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34</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0.77</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0.12</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0.77</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yokanga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0.24</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bukhtovka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0.22</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dz_banka</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23</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57</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dz_lit</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0.03</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ivan_buy</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0.68</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ivan_us</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0.16</w:t>
            </w:r>
          </w:p>
        </w:tc>
      </w:tr>
      <w:tr>
        <w:tblPrEx>
          <w:tblLayout w:type="fixed"/>
          <w:tblCellMar>
            <w:top w:w="0" w:type="dxa"/>
            <w:left w:w="108" w:type="dxa"/>
            <w:bottom w:w="0" w:type="dxa"/>
            <w:right w:w="108" w:type="dxa"/>
          </w:tblCellMar>
        </w:tblPrEx>
        <w:tc>
          <w:tcPr>
            <w:tcW w:w="129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631"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yarn02</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52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166"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0.26</w:t>
            </w:r>
          </w:p>
        </w:tc>
      </w:tr>
    </w:tbl>
    <w:p>
      <w:pPr>
        <w:pStyle w:val="11"/>
      </w:pPr>
      <w:r>
        <w:t>Table ++. Characteristics of modelling data set.</w:t>
      </w:r>
    </w:p>
    <w:tbl>
      <w:tblPr>
        <w:tblStyle w:val="26"/>
        <w:tblW w:w="10188" w:type="dxa"/>
        <w:tblInd w:w="0" w:type="dxa"/>
        <w:tblLayout w:type="fixed"/>
        <w:tblCellMar>
          <w:top w:w="0" w:type="dxa"/>
          <w:left w:w="108" w:type="dxa"/>
          <w:bottom w:w="0" w:type="dxa"/>
          <w:right w:w="108" w:type="dxa"/>
        </w:tblCellMar>
      </w:tblPr>
      <w:tblGrid>
        <w:gridCol w:w="1262"/>
        <w:gridCol w:w="1863"/>
        <w:gridCol w:w="1482"/>
        <w:gridCol w:w="1482"/>
        <w:gridCol w:w="1482"/>
        <w:gridCol w:w="1482"/>
        <w:gridCol w:w="1135"/>
      </w:tblGrid>
      <w:tr>
        <w:tblPrEx>
          <w:tblLayout w:type="fixed"/>
          <w:tblCellMar>
            <w:top w:w="0" w:type="dxa"/>
            <w:left w:w="108" w:type="dxa"/>
            <w:bottom w:w="0" w:type="dxa"/>
            <w:right w:w="108" w:type="dxa"/>
          </w:tblCellMar>
        </w:tblPrEx>
        <w:tc>
          <w:tcPr>
            <w:tcW w:w="126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w:t>
            </w:r>
          </w:p>
        </w:tc>
        <w:tc>
          <w:tcPr>
            <w:tcW w:w="186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pop</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N_Tm_T</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N_Em_T</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N_Tm_E</w:t>
            </w:r>
          </w:p>
        </w:tc>
        <w:tc>
          <w:tcPr>
            <w:tcW w:w="14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N_Em_E</w:t>
            </w:r>
          </w:p>
        </w:tc>
        <w:tc>
          <w:tcPr>
            <w:tcW w:w="1135"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Ptros</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berzakol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0.09</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kanal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0.89</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luv_korg</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luv_mat</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niva_sl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oenij</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padan</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0.03</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porya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salnij</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44</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umba_06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umba_bridge</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umba_kamni</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umba_pikut</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umba_pioner</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umba_sovhoz</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0.13</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0.07</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W</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voronya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abram</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0.32</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belok2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fr</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0.29</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mi</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0.78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0.00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nm_last</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0.36</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sevsk</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25</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BL</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zmis</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0.81</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banka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36</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0.10</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kuvsh</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seredina</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55</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0.57</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seredina_sub</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0.48</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tu_old</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0.84</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31</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0.55</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ustie_sub</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43</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39</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0.31</w:t>
            </w:r>
          </w:p>
        </w:tc>
      </w:tr>
      <w:tr>
        <w:tblPrEx>
          <w:tblLayout w:type="fixed"/>
          <w:tblCellMar>
            <w:top w:w="0" w:type="dxa"/>
            <w:left w:w="108" w:type="dxa"/>
            <w:bottom w:w="0" w:type="dxa"/>
            <w:right w:w="108" w:type="dxa"/>
          </w:tblCellMar>
        </w:tblPrEx>
        <w:tc>
          <w:tcPr>
            <w:tcW w:w="126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BH</w:t>
            </w:r>
          </w:p>
        </w:tc>
        <w:tc>
          <w:tcPr>
            <w:tcW w:w="1863"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vol</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32</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w:t>
            </w:r>
          </w:p>
        </w:tc>
        <w:tc>
          <w:tcPr>
            <w:tcW w:w="148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w:t>
            </w:r>
          </w:p>
        </w:tc>
        <w:tc>
          <w:tcPr>
            <w:tcW w:w="1135"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0.65</w:t>
            </w:r>
          </w:p>
        </w:tc>
      </w:tr>
    </w:tbl>
    <w:p>
      <w:pPr>
        <w:pStyle w:val="2"/>
      </w:pPr>
      <w:bookmarkStart w:id="0" w:name="regression-models-parameters"/>
      <w:r>
        <w:t>Regression models parameters</w:t>
      </w:r>
      <w:bookmarkEnd w:id="0"/>
    </w:p>
    <w:p>
      <w:r>
        <w:t>In all models outcome variables were supposed as binomialy disributed (</w:t>
      </w:r>
      <m:oMath>
        <m:sSub>
          <m:sSubPr/>
          <m:e>
            <m:r>
              <m:t>y</m:t>
            </m:r>
          </m:e>
          <m:sub>
            <m:r>
              <m:t>i</m:t>
            </m:r>
          </m:sub>
        </m:sSub>
        <m:r>
          <m:t>∼Binomial(n=1,</m:t>
        </m:r>
        <m:sSub>
          <m:sSubPr/>
          <m:e>
            <m:r>
              <m:t>π</m:t>
            </m:r>
          </m:e>
          <m:sub>
            <m:r>
              <m:t>i</m:t>
            </m:r>
          </m:sub>
        </m:sSub>
        <m:r>
          <m:t>)</m:t>
        </m:r>
      </m:oMath>
      <w:r>
        <w:t>). Logit was used as a linck function in all models. In all cases initially full models including all terms and their inteactions were constructed. After the full models were constructed they were simplified accordingly to backward selection protocol (Zuur et al., 2009).</w:t>
      </w:r>
    </w:p>
    <w:p>
      <w:pPr>
        <w:pStyle w:val="11"/>
      </w:pPr>
      <w:r>
        <w:t>The full models list</w:t>
      </w:r>
    </w:p>
    <w:p>
      <w:pPr>
        <w:pStyle w:val="11"/>
      </w:pPr>
      <w:r>
        <w:t xml:space="preserve">Model1: </w:t>
      </w:r>
      <m:oMath>
        <m:r>
          <m:t>logit(</m:t>
        </m:r>
        <m:sSub>
          <m:sSubPr/>
          <m:e>
            <m:r>
              <m:t>P</m:t>
            </m:r>
          </m:e>
          <m:sub>
            <m:r>
              <m:t>T</m:t>
            </m:r>
          </m:sub>
        </m:sSub>
        <m:r>
          <m:t>)=Ptros+Subset+Ptros:Subset</m:t>
        </m:r>
      </m:oMath>
    </w:p>
    <w:p>
      <w:pPr>
        <w:pStyle w:val="11"/>
      </w:pPr>
      <w:r>
        <w:t xml:space="preserve">Model2: </w:t>
      </w:r>
      <m:oMath>
        <m:r>
          <m:t>logit(</m:t>
        </m:r>
        <m:sSub>
          <m:sSubPr/>
          <m:e>
            <m:r>
              <m:t>P</m:t>
            </m:r>
          </m:e>
          <m:sub>
            <m:r>
              <m:t>T</m:t>
            </m:r>
          </m:sub>
        </m:sSub>
        <m:r>
          <m:t>)=Ptros+Subset+Species+Ptros:Subset+Ptros:Species+Subset:Species+Ptros:Subset:Species</m:t>
        </m:r>
      </m:oMath>
    </w:p>
    <w:p>
      <w:pPr>
        <w:pStyle w:val="11"/>
      </w:pPr>
      <w:r>
        <w:t xml:space="preserve">Model3: </w:t>
      </w:r>
      <m:oMath>
        <m:r>
          <m:t>logit(</m:t>
        </m:r>
        <m:sSub>
          <m:sSubPr/>
          <m:e>
            <m:r>
              <m:t>P</m:t>
            </m:r>
          </m:e>
          <m:sub>
            <m:r>
              <m:t>correct</m:t>
            </m:r>
          </m:sub>
        </m:sSub>
        <m:r>
          <m:t>)=Ptros+Subset+Ptros:Subset</m:t>
        </m:r>
      </m:oMath>
    </w:p>
    <w:p>
      <w:pPr>
        <w:pStyle w:val="11"/>
      </w:pPr>
      <w:r>
        <w:t xml:space="preserve">Model4: </w:t>
      </w:r>
      <m:oMath>
        <m:r>
          <m:t>logit(</m:t>
        </m:r>
        <m:sSub>
          <m:sSubPr/>
          <m:e>
            <m:r>
              <m:t>P</m:t>
            </m:r>
          </m:e>
          <m:sub>
            <m:r>
              <m:t>correct</m:t>
            </m:r>
          </m:sub>
        </m:sSub>
        <m:r>
          <m:t>)=Morph+Ptros+Subset+Morph:Ptros+Morph:Subset+Ptros:Subset+Morph:Ptros:Subset</m:t>
        </m:r>
      </m:oMath>
    </w:p>
    <w:p>
      <w:pPr>
        <w:pStyle w:val="11"/>
      </w:pPr>
      <w:r>
        <w:t xml:space="preserve">Model5: </w:t>
      </w:r>
      <m:oMath>
        <m:r>
          <m:t>logit(Ptros)=</m:t>
        </m:r>
        <m:sSub>
          <m:sSubPr/>
          <m:e>
            <m:r>
              <m:t>P</m:t>
            </m:r>
          </m:e>
          <m:sub>
            <m:r>
              <m:t>T</m:t>
            </m:r>
          </m:sub>
        </m:sSub>
        <m:r>
          <m:t>+Subset</m:t>
        </m:r>
      </m:oMath>
    </w:p>
    <w:tbl>
      <w:tblPr>
        <w:tblStyle w:val="26"/>
        <w:tblpPr w:leftFromText="180" w:rightFromText="180" w:vertAnchor="text" w:horzAnchor="page" w:tblpX="1163" w:tblpY="685"/>
        <w:tblOverlap w:val="never"/>
        <w:tblW w:w="10186" w:type="dxa"/>
        <w:tblInd w:w="0" w:type="dxa"/>
        <w:tblLayout w:type="fixed"/>
        <w:tblCellMar>
          <w:top w:w="0" w:type="dxa"/>
          <w:left w:w="108" w:type="dxa"/>
          <w:bottom w:w="0" w:type="dxa"/>
          <w:right w:w="108" w:type="dxa"/>
        </w:tblCellMar>
      </w:tblPr>
      <w:tblGrid>
        <w:gridCol w:w="4289"/>
        <w:gridCol w:w="1717"/>
        <w:gridCol w:w="1672"/>
        <w:gridCol w:w="1254"/>
        <w:gridCol w:w="1254"/>
      </w:tblGrid>
      <w:tr>
        <w:tblPrEx>
          <w:tblLayout w:type="fixed"/>
          <w:tblCellMar>
            <w:top w:w="0" w:type="dxa"/>
            <w:left w:w="108" w:type="dxa"/>
            <w:bottom w:w="0" w:type="dxa"/>
            <w:right w:w="108" w:type="dxa"/>
          </w:tblCellMar>
        </w:tblPrEx>
        <w:tc>
          <w:tcPr>
            <w:tcW w:w="4289"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Terms</w:t>
            </w:r>
          </w:p>
        </w:tc>
        <w:tc>
          <w:tcPr>
            <w:tcW w:w="1717"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Estimate</w:t>
            </w:r>
          </w:p>
        </w:tc>
        <w:tc>
          <w:tcPr>
            <w:tcW w:w="167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SE</w:t>
            </w:r>
          </w:p>
        </w:tc>
        <w:tc>
          <w:tcPr>
            <w:tcW w:w="125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z-statistic</w:t>
            </w:r>
          </w:p>
        </w:tc>
        <w:tc>
          <w:tcPr>
            <w:tcW w:w="1254"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p-value</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1</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0.45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-17.08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14.73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0.096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2.6</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9.26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-2.01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0.044</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-3.88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2</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m</m:t>
                  </m:r>
                </m:sub>
                <m:sup>
                  <m:r>
                    <m:t>2</m:t>
                  </m:r>
                </m:sup>
              </m:sSubSup>
            </m:oMath>
            <w:r>
              <w:t xml:space="preserve"> = 0.61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c</m:t>
                  </m:r>
                </m:sub>
                <m:sup>
                  <m:r>
                    <m:t>2</m:t>
                  </m:r>
                </m:sup>
              </m:sSubSup>
            </m:oMath>
            <w:r>
              <w:t xml:space="preserve"> = 0.67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4.6</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4.81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0.335</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4.92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8.47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-1.25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0.211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0.069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-2.41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0.016</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-1.40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0.162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-4.9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-6.21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1.70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0.089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Ptros:Subset(BH):Species(</w:t>
            </w:r>
            <w:r>
              <w:rPr>
                <w:i/>
              </w:rPr>
              <w:t>M.trossulus</w:t>
            </w:r>
            <w:r>
              <w: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1.57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3.50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3</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0.18</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15.42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-5.04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-2.67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-11.82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6.62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4</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m</m:t>
                  </m:r>
                </m:sub>
                <m:sup>
                  <m:r>
                    <m:t>2</m:t>
                  </m:r>
                </m:sup>
              </m:sSubSup>
            </m:oMath>
            <w:r>
              <w:t xml:space="preserve"> = 0.4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bSup>
                <m:sSubSupPr/>
                <m:e>
                  <m:r>
                    <m:t>R</m:t>
                  </m:r>
                </m:e>
                <m:sub>
                  <m:r>
                    <m:t>c</m:t>
                  </m:r>
                </m:sub>
                <m:sup>
                  <m:r>
                    <m:t>2</m:t>
                  </m:r>
                </m:sup>
              </m:sSubSup>
            </m:oMath>
            <w:r>
              <w:t xml:space="preserve"> = 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15.09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-3.7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-10.33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-5.1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-9.89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-1.14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0.253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-1.7</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-4.12</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Morph(T):Ptros</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8.4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13.34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0.91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0.361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Morph(T):Subset(BH)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-2.95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0.8</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1.06</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0.288</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Ptros:Subset(BH)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3.00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0.003</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sd_(Intercept).pop</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rPr>
                <w:b/>
              </w:rPr>
              <w:t>Model 5</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m:oMath>
              <m:r>
                <m:t>pseudo</m:t>
              </m:r>
              <m:sSup>
                <m:sSupPr/>
                <m:e>
                  <m:r>
                    <m:t>R</m:t>
                  </m:r>
                </m:e>
                <m:sup>
                  <m:r>
                    <m:t>2</m:t>
                  </m:r>
                </m:sup>
              </m:sSup>
            </m:oMath>
            <w:r>
              <w:t xml:space="preserve"> = 0.42</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outlineLvl w:val="9"/>
            </w:pP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(Intercept)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-2.9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0.17</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-16.94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6.1</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15.25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&lt; 0.001</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0.31</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1.80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0.072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0.45</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-0.64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0.522</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PT:Subset(BL)</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-0.3</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0.74</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-0.43</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0.669</w:t>
            </w:r>
          </w:p>
        </w:tc>
      </w:tr>
      <w:tr>
        <w:tblPrEx>
          <w:tblLayout w:type="fixed"/>
          <w:tblCellMar>
            <w:top w:w="0" w:type="dxa"/>
            <w:left w:w="108" w:type="dxa"/>
            <w:bottom w:w="0" w:type="dxa"/>
            <w:right w:w="108" w:type="dxa"/>
          </w:tblCellMar>
        </w:tblPrEx>
        <w:tc>
          <w:tcPr>
            <w:tcW w:w="4289"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PT:Subset(BH)</w:t>
            </w:r>
          </w:p>
        </w:tc>
        <w:tc>
          <w:tcPr>
            <w:tcW w:w="1717"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-1.9</w:t>
            </w:r>
          </w:p>
        </w:tc>
        <w:tc>
          <w:tcPr>
            <w:tcW w:w="1672"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0.69</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outlineLvl w:val="9"/>
            </w:pPr>
            <w:r>
              <w:t>-2.70</w:t>
            </w:r>
          </w:p>
        </w:tc>
        <w:tc>
          <w:tcPr>
            <w:tcW w:w="1254" w:type="dxa"/>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outlineLvl w:val="9"/>
            </w:pPr>
            <w:r>
              <w:t>0.007</w:t>
            </w:r>
          </w:p>
        </w:tc>
      </w:tr>
    </w:tbl>
    <w:p>
      <w:pPr>
        <w:pStyle w:val="11"/>
      </w:pPr>
      <w:r>
        <w:t xml:space="preserve">In all models Ptros - proportion of </w:t>
      </w:r>
      <w:r>
        <w:rPr>
          <w:i/>
        </w:rPr>
        <w:t>M.trossulus</w:t>
      </w:r>
      <w:r>
        <w:t xml:space="preserve"> in population; Subset - sampling area (</w:t>
      </w:r>
      <w:r>
        <w:rPr>
          <w:i/>
        </w:rPr>
        <w:t>W</w:t>
      </w:r>
      <w:r>
        <w:t xml:space="preserve">, </w:t>
      </w:r>
      <w:r>
        <w:rPr>
          <w:i/>
        </w:rPr>
        <w:t>BL</w:t>
      </w:r>
      <w:r>
        <w:t xml:space="preserve">, </w:t>
      </w:r>
      <w:r>
        <w:rPr>
          <w:i/>
        </w:rPr>
        <w:t>BH</w:t>
      </w:r>
      <w:r>
        <w:t>); PT - proportion of T-morphotype in population; Species - mussel genotype (</w:t>
      </w:r>
      <w:r>
        <w:rPr>
          <w:i/>
        </w:rPr>
        <w:t>M.edulis</w:t>
      </w:r>
      <w:r>
        <w:t xml:space="preserve"> or </w:t>
      </w:r>
      <w:r>
        <w:rPr>
          <w:i/>
        </w:rPr>
        <w:t>M.trossulus</w:t>
      </w:r>
      <w:r>
        <w:t xml:space="preserve">). </w:t>
      </w:r>
      <w:r>
        <w:rPr>
          <w:i/>
        </w:rPr>
        <w:t>M.edulis</w:t>
      </w:r>
      <w:r>
        <w:t xml:space="preserve"> and </w:t>
      </w:r>
      <w:r>
        <w:rPr>
          <w:i/>
        </w:rPr>
        <w:t>W</w:t>
      </w:r>
      <w:r>
        <w:t xml:space="preserve"> where used as basic levels for categorical predictors in all models.</w:t>
      </w:r>
    </w:p>
    <w:p>
      <w:pPr>
        <w:pStyle w:val="3"/>
      </w:pPr>
      <w:bookmarkStart w:id="1" w:name="regression-models-visualisation"/>
      <w:r>
        <w:t>Regression models visualisation</w:t>
      </w:r>
      <w:bookmarkEnd w:id="1"/>
    </w:p>
    <w:p>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 </w:t>
      </w:r>
      <w:r>
        <w:rPr>
          <w:i/>
        </w:rPr>
        <w:t>M.trossulus</w:t>
      </w:r>
      <w:r>
        <w:t xml:space="preserve"> with T-morphotype; emty points - </w:t>
      </w:r>
      <w:r>
        <w:rPr>
          <w:i/>
        </w:rPr>
        <w:t>M.edulis</w:t>
      </w:r>
      <w:r>
        <w:t xml:space="preserve"> with T-morphotype. (C) Model3: filled points - </w:t>
      </w:r>
      <w:r>
        <w:rPr>
          <w:i/>
        </w:rPr>
        <w:t>M.trossulus</w:t>
      </w:r>
      <w:r>
        <w:t xml:space="preserve"> with T-morphotype; empty points - </w:t>
      </w:r>
      <w:r>
        <w:rPr>
          <w:i/>
        </w:rPr>
        <w:t>M.edulis</w:t>
      </w:r>
      <w:r>
        <w:t xml:space="preserve"> with E-morphotype.</w:t>
      </w:r>
    </w:p>
    <w:p>
      <w:pPr>
        <w:pStyle w:val="3"/>
      </w:pPr>
      <w:bookmarkStart w:id="2" w:name="generalization-of-data"/>
      <w:r>
        <w:t>Generalization of data</w:t>
      </w:r>
      <w:bookmarkEnd w:id="2"/>
    </w:p>
    <w:p>
      <w:r>
        <w:t>Для того, чтобы проверить можно ли как-то генерализовать модель, мы должны проверить на modelling data set, приводит ли объединение данных из разных регионов к существенным изменениям в структуре модели. Единственный (на мой взгляд) путь - это сравнить по информационным критериями несколько моделей-кандидатов:</w:t>
      </w:r>
    </w:p>
    <w:p>
      <w:pPr>
        <w:numPr>
          <w:ilvl w:val="0"/>
          <w:numId w:val="1"/>
        </w:numPr>
      </w:pPr>
      <w:r>
        <w:t>W + BL + BH (все регионы входят в модель)</w:t>
      </w:r>
    </w:p>
    <w:p>
      <w:pPr>
        <w:numPr>
          <w:ilvl w:val="0"/>
          <w:numId w:val="1"/>
        </w:numPr>
      </w:pPr>
      <w:r>
        <w:t>(WBL) + BH (объединены W BL)</w:t>
      </w:r>
    </w:p>
    <w:p>
      <w:pPr>
        <w:numPr>
          <w:ilvl w:val="0"/>
          <w:numId w:val="1"/>
        </w:numPr>
      </w:pPr>
      <w:r>
        <w:t>(WBH) + BL (объединены W BH)</w:t>
      </w:r>
    </w:p>
    <w:p>
      <w:pPr>
        <w:numPr>
          <w:ilvl w:val="0"/>
          <w:numId w:val="1"/>
        </w:numPr>
      </w:pPr>
      <w:r>
        <w:t>W + (BLBH) (объединены BL BH)</w:t>
      </w:r>
    </w:p>
    <w:p>
      <w:pPr>
        <w:numPr>
          <w:ilvl w:val="0"/>
          <w:numId w:val="1"/>
        </w:numPr>
      </w:pPr>
      <w:r>
        <w:t>(WBLBH)</w:t>
      </w:r>
    </w:p>
    <w:p>
      <w:r>
        <w:t>Поблема заклчается в том, какую из моделей гонять в этом анализе. Поскольку наиболее адекватно, на мой взгляд, отражает работоспособность “morphotype-test” Model 4, то на ней и будет основан дальнейший анализ.</w:t>
      </w:r>
    </w:p>
    <w:tbl>
      <w:tblPr>
        <w:tblStyle w:val="26"/>
        <w:tblW w:w="5734" w:type="dxa"/>
        <w:tblInd w:w="0" w:type="dxa"/>
        <w:tblLayout w:type="fixed"/>
        <w:tblCellMar>
          <w:top w:w="0" w:type="dxa"/>
          <w:left w:w="108" w:type="dxa"/>
          <w:bottom w:w="0" w:type="dxa"/>
          <w:right w:w="108" w:type="dxa"/>
        </w:tblCellMar>
      </w:tblPr>
      <w:tblGrid>
        <w:gridCol w:w="3024"/>
        <w:gridCol w:w="1025"/>
        <w:gridCol w:w="1685"/>
      </w:tblGrid>
      <w:tr>
        <w:tblPrEx>
          <w:tblLayout w:type="fixed"/>
          <w:tblCellMar>
            <w:top w:w="0" w:type="dxa"/>
            <w:left w:w="108" w:type="dxa"/>
            <w:bottom w:w="0" w:type="dxa"/>
            <w:right w:w="108" w:type="dxa"/>
          </w:tblCellMar>
        </w:tblPrEx>
        <w:tc>
          <w:tcPr>
            <w:tcW w:w="3024" w:type="dxa"/>
            <w:tcBorders>
              <w:bottom w:val="single" w:color="auto" w:sz="0" w:space="0"/>
            </w:tcBorders>
            <w:vAlign w:val="bottom"/>
          </w:tcPr>
          <w:p/>
        </w:tc>
        <w:tc>
          <w:tcPr>
            <w:tcW w:w="1025" w:type="dxa"/>
            <w:tcBorders>
              <w:bottom w:val="single" w:color="auto" w:sz="0" w:space="0"/>
            </w:tcBorders>
            <w:vAlign w:val="bottom"/>
          </w:tcPr>
          <w:p>
            <w:pPr>
              <w:jc w:val="right"/>
            </w:pPr>
            <w:r>
              <w:t>df</w:t>
            </w:r>
          </w:p>
        </w:tc>
        <w:tc>
          <w:tcPr>
            <w:tcW w:w="1685" w:type="dxa"/>
            <w:tcBorders>
              <w:bottom w:val="single" w:color="auto" w:sz="0" w:space="0"/>
            </w:tcBorders>
            <w:vAlign w:val="bottom"/>
          </w:tcPr>
          <w:p>
            <w:pPr>
              <w:jc w:val="right"/>
            </w:pPr>
            <w:r>
              <w:t>AIC</w:t>
            </w:r>
          </w:p>
        </w:tc>
      </w:tr>
      <w:tr>
        <w:tblPrEx>
          <w:tblLayout w:type="fixed"/>
          <w:tblCellMar>
            <w:top w:w="0" w:type="dxa"/>
            <w:left w:w="108" w:type="dxa"/>
            <w:bottom w:w="0" w:type="dxa"/>
            <w:right w:w="108" w:type="dxa"/>
          </w:tblCellMar>
        </w:tblPrEx>
        <w:tc>
          <w:tcPr>
            <w:tcW w:w="3024" w:type="dxa"/>
          </w:tcPr>
          <w:p>
            <w:pPr>
              <w:jc w:val="left"/>
            </w:pPr>
            <w:r>
              <w:t>Model_4_final_cand_1</w:t>
            </w:r>
          </w:p>
        </w:tc>
        <w:tc>
          <w:tcPr>
            <w:tcW w:w="1025" w:type="dxa"/>
          </w:tcPr>
          <w:p>
            <w:pPr>
              <w:jc w:val="right"/>
            </w:pPr>
            <w:r>
              <w:t>11</w:t>
            </w:r>
          </w:p>
        </w:tc>
        <w:tc>
          <w:tcPr>
            <w:tcW w:w="1685" w:type="dxa"/>
          </w:tcPr>
          <w:p>
            <w:pPr>
              <w:jc w:val="right"/>
            </w:pPr>
            <w:r>
              <w:t>1624.286</w:t>
            </w:r>
          </w:p>
        </w:tc>
      </w:tr>
      <w:tr>
        <w:tblPrEx>
          <w:tblLayout w:type="fixed"/>
          <w:tblCellMar>
            <w:top w:w="0" w:type="dxa"/>
            <w:left w:w="108" w:type="dxa"/>
            <w:bottom w:w="0" w:type="dxa"/>
            <w:right w:w="108" w:type="dxa"/>
          </w:tblCellMar>
        </w:tblPrEx>
        <w:tc>
          <w:tcPr>
            <w:tcW w:w="3024" w:type="dxa"/>
          </w:tcPr>
          <w:p>
            <w:pPr>
              <w:jc w:val="left"/>
            </w:pPr>
            <w:r>
              <w:t>Model_4_final_cand_2</w:t>
            </w:r>
          </w:p>
        </w:tc>
        <w:tc>
          <w:tcPr>
            <w:tcW w:w="1025" w:type="dxa"/>
          </w:tcPr>
          <w:p>
            <w:pPr>
              <w:jc w:val="right"/>
            </w:pPr>
            <w:r>
              <w:t>8</w:t>
            </w:r>
          </w:p>
        </w:tc>
        <w:tc>
          <w:tcPr>
            <w:tcW w:w="1685" w:type="dxa"/>
          </w:tcPr>
          <w:p>
            <w:pPr>
              <w:jc w:val="right"/>
            </w:pPr>
            <w:r>
              <w:t>1620.260</w:t>
            </w:r>
          </w:p>
        </w:tc>
      </w:tr>
      <w:tr>
        <w:tblPrEx>
          <w:tblLayout w:type="fixed"/>
          <w:tblCellMar>
            <w:top w:w="0" w:type="dxa"/>
            <w:left w:w="108" w:type="dxa"/>
            <w:bottom w:w="0" w:type="dxa"/>
            <w:right w:w="108" w:type="dxa"/>
          </w:tblCellMar>
        </w:tblPrEx>
        <w:tc>
          <w:tcPr>
            <w:tcW w:w="3024" w:type="dxa"/>
          </w:tcPr>
          <w:p>
            <w:pPr>
              <w:jc w:val="left"/>
            </w:pPr>
            <w:r>
              <w:t>Model_4_final_cand_3</w:t>
            </w:r>
          </w:p>
        </w:tc>
        <w:tc>
          <w:tcPr>
            <w:tcW w:w="1025" w:type="dxa"/>
          </w:tcPr>
          <w:p>
            <w:pPr>
              <w:jc w:val="right"/>
            </w:pPr>
            <w:r>
              <w:t>8</w:t>
            </w:r>
          </w:p>
        </w:tc>
        <w:tc>
          <w:tcPr>
            <w:tcW w:w="1685" w:type="dxa"/>
          </w:tcPr>
          <w:p>
            <w:pPr>
              <w:jc w:val="right"/>
            </w:pPr>
            <w:r>
              <w:t>1657.792</w:t>
            </w:r>
          </w:p>
        </w:tc>
      </w:tr>
      <w:tr>
        <w:tblPrEx>
          <w:tblLayout w:type="fixed"/>
          <w:tblCellMar>
            <w:top w:w="0" w:type="dxa"/>
            <w:left w:w="108" w:type="dxa"/>
            <w:bottom w:w="0" w:type="dxa"/>
            <w:right w:w="108" w:type="dxa"/>
          </w:tblCellMar>
        </w:tblPrEx>
        <w:tc>
          <w:tcPr>
            <w:tcW w:w="3024" w:type="dxa"/>
          </w:tcPr>
          <w:p>
            <w:pPr>
              <w:jc w:val="left"/>
            </w:pPr>
            <w:r>
              <w:t>Model_4_final_cand_4</w:t>
            </w:r>
          </w:p>
        </w:tc>
        <w:tc>
          <w:tcPr>
            <w:tcW w:w="1025" w:type="dxa"/>
          </w:tcPr>
          <w:p>
            <w:pPr>
              <w:jc w:val="right"/>
            </w:pPr>
            <w:r>
              <w:t>8</w:t>
            </w:r>
          </w:p>
        </w:tc>
        <w:tc>
          <w:tcPr>
            <w:tcW w:w="1685" w:type="dxa"/>
          </w:tcPr>
          <w:p>
            <w:pPr>
              <w:jc w:val="right"/>
            </w:pPr>
            <w:r>
              <w:t>1656.967</w:t>
            </w:r>
          </w:p>
        </w:tc>
      </w:tr>
      <w:tr>
        <w:tblPrEx>
          <w:tblLayout w:type="fixed"/>
          <w:tblCellMar>
            <w:top w:w="0" w:type="dxa"/>
            <w:left w:w="108" w:type="dxa"/>
            <w:bottom w:w="0" w:type="dxa"/>
            <w:right w:w="108" w:type="dxa"/>
          </w:tblCellMar>
        </w:tblPrEx>
        <w:tc>
          <w:tcPr>
            <w:tcW w:w="3024" w:type="dxa"/>
          </w:tcPr>
          <w:p>
            <w:pPr>
              <w:jc w:val="left"/>
            </w:pPr>
            <w:r>
              <w:t>Model_4_final_cand_5</w:t>
            </w:r>
          </w:p>
        </w:tc>
        <w:tc>
          <w:tcPr>
            <w:tcW w:w="1025" w:type="dxa"/>
          </w:tcPr>
          <w:p>
            <w:pPr>
              <w:jc w:val="right"/>
            </w:pPr>
            <w:r>
              <w:t>5</w:t>
            </w:r>
          </w:p>
        </w:tc>
        <w:tc>
          <w:tcPr>
            <w:tcW w:w="1685" w:type="dxa"/>
          </w:tcPr>
          <w:p>
            <w:pPr>
              <w:jc w:val="right"/>
            </w:pPr>
            <w:r>
              <w:t>1664.156</w:t>
            </w:r>
          </w:p>
        </w:tc>
      </w:tr>
    </w:tbl>
    <w:p>
      <w:pPr>
        <w:pStyle w:val="11"/>
      </w:pPr>
      <w:r>
        <w:t>Приведенные данные показывают, что объединене W и BL не приводт к ухудшению регрессионной модели.</w:t>
      </w:r>
    </w:p>
    <w:p>
      <w:pPr>
        <w:pStyle w:val="3"/>
      </w:pPr>
      <w:bookmarkStart w:id="3" w:name="theoretical-models"/>
      <w:r>
        <w:t>Theoretical models</w:t>
      </w:r>
      <w:bookmarkEnd w:id="3"/>
    </w:p>
    <w:p>
      <w:r>
        <w:t>Теоретическая модель 1, отражает аналитчески выводимую связь между Ptros и P_T, при заданных значениях P_Tm_T и P_Tm_E.</w:t>
      </w:r>
    </w:p>
    <w:p>
      <w:pPr>
        <w:pStyle w:val="11"/>
      </w:pPr>
      <w:r>
        <w:t>Теоретическая модель 2, отражает аналитически выводимую связь между вероятностью правильного определния генотипа по морфотипу и Ptros, при заданных P_Tm_T и P_Tm_E.</w:t>
      </w:r>
    </w:p>
    <w:p>
      <w:pPr>
        <w:pStyle w:val="11"/>
      </w:pPr>
      <w:r>
        <w:t>Далее, для выработки стартегии построения теоретических моделей мы будем работать с объединенными данными моделлингового датасета по Белому морю (W) и опресненного Баренува моря (BL). Данные по моделлинговому датасету полносоленого Баренцева моря (BH), где эмпирическая связь между морфотипами и генотипами слабее, в данном анализе не используются.</w:t>
      </w:r>
    </w:p>
    <w:p>
      <w:pPr>
        <w:pStyle w:val="3"/>
      </w:pPr>
      <w:bookmarkStart w:id="4" w:name="regression-models-for-joined-data"/>
      <w:r>
        <w:t>Regression models for joined data</w:t>
      </w:r>
      <w:bookmarkEnd w:id="4"/>
    </w:p>
    <w:p>
      <w:pPr>
        <w:pStyle w:val="3"/>
      </w:pPr>
      <w:bookmarkStart w:id="5" w:name="regression-models-for-joined-white-sea-and-freshned-barents-sea"/>
      <w:r>
        <w:t>Regression models for joined White Sea and freshned Barents Sea</w:t>
      </w:r>
      <w:bookmarkEnd w:id="5"/>
    </w:p>
    <w:tbl>
      <w:tblPr>
        <w:tblStyle w:val="26"/>
        <w:tblW w:w="10188" w:type="dxa"/>
        <w:tblInd w:w="0" w:type="dxa"/>
        <w:tblLayout w:type="fixed"/>
        <w:tblCellMar>
          <w:top w:w="0" w:type="dxa"/>
          <w:left w:w="108" w:type="dxa"/>
          <w:bottom w:w="0" w:type="dxa"/>
          <w:right w:w="108" w:type="dxa"/>
        </w:tblCellMar>
      </w:tblPr>
      <w:tblGrid>
        <w:gridCol w:w="2551"/>
        <w:gridCol w:w="2372"/>
        <w:gridCol w:w="2324"/>
        <w:gridCol w:w="1610"/>
        <w:gridCol w:w="1331"/>
      </w:tblGrid>
      <w:tr>
        <w:tblPrEx>
          <w:tblLayout w:type="fixed"/>
          <w:tblCellMar>
            <w:top w:w="0" w:type="dxa"/>
            <w:left w:w="108" w:type="dxa"/>
            <w:bottom w:w="0" w:type="dxa"/>
            <w:right w:w="108" w:type="dxa"/>
          </w:tblCellMar>
        </w:tblPrEx>
        <w:tc>
          <w:tcPr>
            <w:tcW w:w="2551" w:type="dxa"/>
            <w:tcBorders>
              <w:bottom w:val="single" w:color="auto" w:sz="0" w:space="0"/>
            </w:tcBorders>
            <w:vAlign w:val="bottom"/>
          </w:tcPr>
          <w:p>
            <w:pPr>
              <w:jc w:val="left"/>
            </w:pPr>
            <w:r>
              <w:t>Terms</w:t>
            </w:r>
          </w:p>
        </w:tc>
        <w:tc>
          <w:tcPr>
            <w:tcW w:w="2372" w:type="dxa"/>
            <w:tcBorders>
              <w:bottom w:val="single" w:color="auto" w:sz="0" w:space="0"/>
            </w:tcBorders>
            <w:vAlign w:val="bottom"/>
          </w:tcPr>
          <w:p>
            <w:pPr>
              <w:jc w:val="left"/>
            </w:pPr>
            <w:r>
              <w:t>Estimate</w:t>
            </w:r>
          </w:p>
        </w:tc>
        <w:tc>
          <w:tcPr>
            <w:tcW w:w="2324" w:type="dxa"/>
            <w:tcBorders>
              <w:bottom w:val="single" w:color="auto" w:sz="0" w:space="0"/>
            </w:tcBorders>
            <w:vAlign w:val="bottom"/>
          </w:tcPr>
          <w:p>
            <w:pPr>
              <w:jc w:val="left"/>
            </w:pPr>
            <w:r>
              <w:t>SE</w:t>
            </w:r>
          </w:p>
        </w:tc>
        <w:tc>
          <w:tcPr>
            <w:tcW w:w="1610" w:type="dxa"/>
            <w:tcBorders>
              <w:bottom w:val="single" w:color="auto" w:sz="0" w:space="0"/>
            </w:tcBorders>
            <w:vAlign w:val="bottom"/>
          </w:tcPr>
          <w:p>
            <w:pPr>
              <w:jc w:val="right"/>
            </w:pPr>
            <w:r>
              <w:t>z-statistic</w:t>
            </w:r>
          </w:p>
        </w:tc>
        <w:tc>
          <w:tcPr>
            <w:tcW w:w="1331" w:type="dxa"/>
            <w:tcBorders>
              <w:bottom w:val="single" w:color="auto" w:sz="0" w:space="0"/>
            </w:tcBorders>
            <w:vAlign w:val="bottom"/>
          </w:tcPr>
          <w:p>
            <w:pPr>
              <w:jc w:val="left"/>
            </w:pPr>
            <w:r>
              <w:t>p-value</w:t>
            </w:r>
          </w:p>
        </w:tc>
      </w:tr>
      <w:tr>
        <w:tblPrEx>
          <w:tblLayout w:type="fixed"/>
          <w:tblCellMar>
            <w:top w:w="0" w:type="dxa"/>
            <w:left w:w="108" w:type="dxa"/>
            <w:bottom w:w="0" w:type="dxa"/>
            <w:right w:w="108" w:type="dxa"/>
          </w:tblCellMar>
        </w:tblPrEx>
        <w:tc>
          <w:tcPr>
            <w:tcW w:w="2551" w:type="dxa"/>
          </w:tcPr>
          <w:p>
            <w:pPr>
              <w:jc w:val="left"/>
            </w:pPr>
            <w:r>
              <w:rPr>
                <w:b/>
              </w:rPr>
              <w:t>Model 6</w:t>
            </w:r>
          </w:p>
        </w:tc>
        <w:tc>
          <w:tcPr>
            <w:tcW w:w="2372" w:type="dxa"/>
          </w:tcPr>
          <w:p>
            <w:pPr>
              <w:jc w:val="left"/>
            </w:pPr>
            <m:oMath>
              <m:r>
                <m:t>pseudo</m:t>
              </m:r>
              <m:sSup>
                <m:sSupPr/>
                <m:e>
                  <m:r>
                    <m:t>R</m:t>
                  </m:r>
                </m:e>
                <m:sup>
                  <m:r>
                    <m:t>2</m:t>
                  </m:r>
                </m:sup>
              </m:sSup>
            </m:oMath>
            <w:r>
              <w:t xml:space="preserve"> = 0.49</w:t>
            </w:r>
          </w:p>
        </w:tc>
        <w:tc>
          <w:tcPr>
            <w:tcW w:w="2324" w:type="dxa"/>
          </w:tcPr>
          <w:p/>
        </w:tc>
        <w:tc>
          <w:tcPr>
            <w:tcW w:w="1610" w:type="dxa"/>
          </w:tcPr>
          <w:p/>
        </w:tc>
        <w:tc>
          <w:tcPr>
            <w:tcW w:w="1331" w:type="dxa"/>
          </w:tcPr>
          <w:p/>
        </w:tc>
      </w:tr>
      <w:tr>
        <w:tblPrEx>
          <w:tblLayout w:type="fixed"/>
          <w:tblCellMar>
            <w:top w:w="0" w:type="dxa"/>
            <w:left w:w="108" w:type="dxa"/>
            <w:bottom w:w="0" w:type="dxa"/>
            <w:right w:w="108" w:type="dxa"/>
          </w:tblCellMar>
        </w:tblPrEx>
        <w:tc>
          <w:tcPr>
            <w:tcW w:w="2551" w:type="dxa"/>
          </w:tcPr>
          <w:p>
            <w:pPr>
              <w:jc w:val="left"/>
            </w:pPr>
            <w:r>
              <w:t>(Intercept)</w:t>
            </w:r>
          </w:p>
        </w:tc>
        <w:tc>
          <w:tcPr>
            <w:tcW w:w="2372" w:type="dxa"/>
          </w:tcPr>
          <w:p>
            <w:pPr>
              <w:jc w:val="left"/>
            </w:pPr>
            <w:r>
              <w:t>-2.7</w:t>
            </w:r>
          </w:p>
        </w:tc>
        <w:tc>
          <w:tcPr>
            <w:tcW w:w="2324" w:type="dxa"/>
          </w:tcPr>
          <w:p>
            <w:pPr>
              <w:jc w:val="left"/>
            </w:pPr>
            <w:r>
              <w:t>0.14</w:t>
            </w:r>
          </w:p>
        </w:tc>
        <w:tc>
          <w:tcPr>
            <w:tcW w:w="1610" w:type="dxa"/>
          </w:tcPr>
          <w:p>
            <w:pPr>
              <w:jc w:val="right"/>
            </w:pPr>
            <w:r>
              <w:t>-19.47</w:t>
            </w:r>
          </w:p>
        </w:tc>
        <w:tc>
          <w:tcPr>
            <w:tcW w:w="1331" w:type="dxa"/>
          </w:tcPr>
          <w:p>
            <w:pPr>
              <w:jc w:val="left"/>
            </w:pPr>
            <w:r>
              <w:t>&lt; 0.001</w:t>
            </w:r>
          </w:p>
        </w:tc>
      </w:tr>
      <w:tr>
        <w:tblPrEx>
          <w:tblLayout w:type="fixed"/>
          <w:tblCellMar>
            <w:top w:w="0" w:type="dxa"/>
            <w:left w:w="108" w:type="dxa"/>
            <w:bottom w:w="0" w:type="dxa"/>
            <w:right w:w="108" w:type="dxa"/>
          </w:tblCellMar>
        </w:tblPrEx>
        <w:tc>
          <w:tcPr>
            <w:tcW w:w="2551" w:type="dxa"/>
          </w:tcPr>
          <w:p>
            <w:pPr>
              <w:jc w:val="left"/>
            </w:pPr>
            <w:r>
              <w:t>PT</w:t>
            </w:r>
          </w:p>
        </w:tc>
        <w:tc>
          <w:tcPr>
            <w:tcW w:w="2372" w:type="dxa"/>
          </w:tcPr>
          <w:p>
            <w:pPr>
              <w:jc w:val="left"/>
            </w:pPr>
            <w:r>
              <w:t>6.2</w:t>
            </w:r>
          </w:p>
        </w:tc>
        <w:tc>
          <w:tcPr>
            <w:tcW w:w="2324" w:type="dxa"/>
          </w:tcPr>
          <w:p>
            <w:pPr>
              <w:jc w:val="left"/>
            </w:pPr>
            <w:r>
              <w:t>0.33</w:t>
            </w:r>
          </w:p>
        </w:tc>
        <w:tc>
          <w:tcPr>
            <w:tcW w:w="1610" w:type="dxa"/>
          </w:tcPr>
          <w:p>
            <w:pPr>
              <w:jc w:val="right"/>
            </w:pPr>
            <w:r>
              <w:t>18.45</w:t>
            </w:r>
          </w:p>
        </w:tc>
        <w:tc>
          <w:tcPr>
            <w:tcW w:w="1331" w:type="dxa"/>
          </w:tcPr>
          <w:p>
            <w:pPr>
              <w:jc w:val="left"/>
            </w:pPr>
            <w:r>
              <w:t>&lt; 0.001</w:t>
            </w:r>
          </w:p>
        </w:tc>
      </w:tr>
      <w:tr>
        <w:tblPrEx>
          <w:tblLayout w:type="fixed"/>
          <w:tblCellMar>
            <w:top w:w="0" w:type="dxa"/>
            <w:left w:w="108" w:type="dxa"/>
            <w:bottom w:w="0" w:type="dxa"/>
            <w:right w:w="108" w:type="dxa"/>
          </w:tblCellMar>
        </w:tblPrEx>
        <w:tc>
          <w:tcPr>
            <w:tcW w:w="2551" w:type="dxa"/>
          </w:tcPr>
          <w:p>
            <w:pPr>
              <w:jc w:val="left"/>
            </w:pPr>
            <w:r>
              <w:rPr>
                <w:b/>
              </w:rPr>
              <w:t>Model 7</w:t>
            </w:r>
          </w:p>
        </w:tc>
        <w:tc>
          <w:tcPr>
            <w:tcW w:w="2372" w:type="dxa"/>
          </w:tcPr>
          <w:p>
            <w:pPr>
              <w:jc w:val="left"/>
            </w:pPr>
            <m:oMath>
              <m:r>
                <m:t>pseudo</m:t>
              </m:r>
              <m:sSubSup>
                <m:sSubSupPr/>
                <m:e>
                  <m:r>
                    <m:t>R</m:t>
                  </m:r>
                </m:e>
                <m:sub>
                  <m:r>
                    <m:t>m</m:t>
                  </m:r>
                </m:sub>
                <m:sup>
                  <m:r>
                    <m:t>2</m:t>
                  </m:r>
                </m:sup>
              </m:sSubSup>
            </m:oMath>
            <w:r>
              <w:t xml:space="preserve"> = 0.29</w:t>
            </w:r>
          </w:p>
        </w:tc>
        <w:tc>
          <w:tcPr>
            <w:tcW w:w="2324" w:type="dxa"/>
          </w:tcPr>
          <w:p>
            <w:pPr>
              <w:jc w:val="left"/>
            </w:pPr>
            <m:oMath>
              <m:r>
                <m:t>pseudo</m:t>
              </m:r>
              <m:sSubSup>
                <m:sSubSupPr/>
                <m:e>
                  <m:r>
                    <m:t>R</m:t>
                  </m:r>
                </m:e>
                <m:sub>
                  <m:r>
                    <m:t>c</m:t>
                  </m:r>
                </m:sub>
                <m:sup>
                  <m:r>
                    <m:t>2</m:t>
                  </m:r>
                </m:sup>
              </m:sSubSup>
            </m:oMath>
            <w:r>
              <w:t xml:space="preserve"> = 0.31</w:t>
            </w:r>
          </w:p>
        </w:tc>
        <w:tc>
          <w:tcPr>
            <w:tcW w:w="1610" w:type="dxa"/>
          </w:tcPr>
          <w:p/>
        </w:tc>
        <w:tc>
          <w:tcPr>
            <w:tcW w:w="1331" w:type="dxa"/>
          </w:tcPr>
          <w:p/>
        </w:tc>
      </w:tr>
      <w:tr>
        <w:tblPrEx>
          <w:tblLayout w:type="fixed"/>
          <w:tblCellMar>
            <w:top w:w="0" w:type="dxa"/>
            <w:left w:w="108" w:type="dxa"/>
            <w:bottom w:w="0" w:type="dxa"/>
            <w:right w:w="108" w:type="dxa"/>
          </w:tblCellMar>
        </w:tblPrEx>
        <w:tc>
          <w:tcPr>
            <w:tcW w:w="2551" w:type="dxa"/>
          </w:tcPr>
          <w:p>
            <w:pPr>
              <w:jc w:val="left"/>
            </w:pPr>
            <w:r>
              <w:t>(Intercept)</w:t>
            </w:r>
          </w:p>
        </w:tc>
        <w:tc>
          <w:tcPr>
            <w:tcW w:w="2372" w:type="dxa"/>
          </w:tcPr>
          <w:p>
            <w:pPr>
              <w:jc w:val="left"/>
            </w:pPr>
            <w:r>
              <w:t>3.7</w:t>
            </w:r>
          </w:p>
        </w:tc>
        <w:tc>
          <w:tcPr>
            <w:tcW w:w="2324" w:type="dxa"/>
          </w:tcPr>
          <w:p>
            <w:pPr>
              <w:jc w:val="left"/>
            </w:pPr>
            <w:r>
              <w:t>0.26</w:t>
            </w:r>
          </w:p>
        </w:tc>
        <w:tc>
          <w:tcPr>
            <w:tcW w:w="1610" w:type="dxa"/>
          </w:tcPr>
          <w:p>
            <w:pPr>
              <w:jc w:val="right"/>
            </w:pPr>
            <w:r>
              <w:t>14.33</w:t>
            </w:r>
          </w:p>
        </w:tc>
        <w:tc>
          <w:tcPr>
            <w:tcW w:w="1331" w:type="dxa"/>
          </w:tcPr>
          <w:p>
            <w:pPr>
              <w:jc w:val="left"/>
            </w:pPr>
            <w:r>
              <w:t>&lt; 0.001</w:t>
            </w:r>
          </w:p>
        </w:tc>
      </w:tr>
      <w:tr>
        <w:tblPrEx>
          <w:tblLayout w:type="fixed"/>
          <w:tblCellMar>
            <w:top w:w="0" w:type="dxa"/>
            <w:left w:w="108" w:type="dxa"/>
            <w:bottom w:w="0" w:type="dxa"/>
            <w:right w:w="108" w:type="dxa"/>
          </w:tblCellMar>
        </w:tblPrEx>
        <w:tc>
          <w:tcPr>
            <w:tcW w:w="2551" w:type="dxa"/>
          </w:tcPr>
          <w:p>
            <w:pPr>
              <w:jc w:val="left"/>
            </w:pPr>
            <w:r>
              <w:t>Morph(T)</w:t>
            </w:r>
          </w:p>
        </w:tc>
        <w:tc>
          <w:tcPr>
            <w:tcW w:w="2372" w:type="dxa"/>
          </w:tcPr>
          <w:p>
            <w:pPr>
              <w:jc w:val="left"/>
            </w:pPr>
            <w:r>
              <w:t>-3.7</w:t>
            </w:r>
          </w:p>
        </w:tc>
        <w:tc>
          <w:tcPr>
            <w:tcW w:w="2324" w:type="dxa"/>
          </w:tcPr>
          <w:p>
            <w:pPr>
              <w:jc w:val="left"/>
            </w:pPr>
            <w:r>
              <w:t>0.39</w:t>
            </w:r>
          </w:p>
        </w:tc>
        <w:tc>
          <w:tcPr>
            <w:tcW w:w="1610" w:type="dxa"/>
          </w:tcPr>
          <w:p>
            <w:pPr>
              <w:jc w:val="right"/>
            </w:pPr>
            <w:r>
              <w:t>-9.49</w:t>
            </w:r>
          </w:p>
        </w:tc>
        <w:tc>
          <w:tcPr>
            <w:tcW w:w="1331" w:type="dxa"/>
          </w:tcPr>
          <w:p>
            <w:pPr>
              <w:jc w:val="left"/>
            </w:pPr>
            <w:r>
              <w:t>&lt; 0.001</w:t>
            </w:r>
          </w:p>
        </w:tc>
      </w:tr>
      <w:tr>
        <w:tblPrEx>
          <w:tblLayout w:type="fixed"/>
          <w:tblCellMar>
            <w:top w:w="0" w:type="dxa"/>
            <w:left w:w="108" w:type="dxa"/>
            <w:bottom w:w="0" w:type="dxa"/>
            <w:right w:w="108" w:type="dxa"/>
          </w:tblCellMar>
        </w:tblPrEx>
        <w:tc>
          <w:tcPr>
            <w:tcW w:w="2551" w:type="dxa"/>
          </w:tcPr>
          <w:p>
            <w:pPr>
              <w:jc w:val="left"/>
            </w:pPr>
            <w:r>
              <w:t>Ptros</w:t>
            </w:r>
          </w:p>
        </w:tc>
        <w:tc>
          <w:tcPr>
            <w:tcW w:w="2372" w:type="dxa"/>
          </w:tcPr>
          <w:p>
            <w:pPr>
              <w:jc w:val="left"/>
            </w:pPr>
            <w:r>
              <w:t>-5</w:t>
            </w:r>
          </w:p>
        </w:tc>
        <w:tc>
          <w:tcPr>
            <w:tcW w:w="2324" w:type="dxa"/>
          </w:tcPr>
          <w:p>
            <w:pPr>
              <w:jc w:val="left"/>
            </w:pPr>
            <w:r>
              <w:t>0.5</w:t>
            </w:r>
          </w:p>
        </w:tc>
        <w:tc>
          <w:tcPr>
            <w:tcW w:w="1610" w:type="dxa"/>
          </w:tcPr>
          <w:p>
            <w:pPr>
              <w:jc w:val="right"/>
            </w:pPr>
            <w:r>
              <w:t>-10.05</w:t>
            </w:r>
          </w:p>
        </w:tc>
        <w:tc>
          <w:tcPr>
            <w:tcW w:w="1331" w:type="dxa"/>
          </w:tcPr>
          <w:p>
            <w:pPr>
              <w:jc w:val="left"/>
            </w:pPr>
            <w:r>
              <w:t>&lt; 0.001</w:t>
            </w:r>
          </w:p>
        </w:tc>
      </w:tr>
      <w:tr>
        <w:tblPrEx>
          <w:tblLayout w:type="fixed"/>
          <w:tblCellMar>
            <w:top w:w="0" w:type="dxa"/>
            <w:left w:w="108" w:type="dxa"/>
            <w:bottom w:w="0" w:type="dxa"/>
            <w:right w:w="108" w:type="dxa"/>
          </w:tblCellMar>
        </w:tblPrEx>
        <w:tc>
          <w:tcPr>
            <w:tcW w:w="2551" w:type="dxa"/>
          </w:tcPr>
          <w:p>
            <w:pPr>
              <w:jc w:val="left"/>
            </w:pPr>
            <w:r>
              <w:t>Morph(T):Ptros</w:t>
            </w:r>
          </w:p>
        </w:tc>
        <w:tc>
          <w:tcPr>
            <w:tcW w:w="2372" w:type="dxa"/>
          </w:tcPr>
          <w:p>
            <w:pPr>
              <w:jc w:val="left"/>
            </w:pPr>
            <w:r>
              <w:t>8.6</w:t>
            </w:r>
          </w:p>
        </w:tc>
        <w:tc>
          <w:tcPr>
            <w:tcW w:w="2324" w:type="dxa"/>
          </w:tcPr>
          <w:p>
            <w:pPr>
              <w:jc w:val="left"/>
            </w:pPr>
            <w:r>
              <w:t>0.76</w:t>
            </w:r>
          </w:p>
        </w:tc>
        <w:tc>
          <w:tcPr>
            <w:tcW w:w="1610" w:type="dxa"/>
          </w:tcPr>
          <w:p>
            <w:pPr>
              <w:jc w:val="right"/>
            </w:pPr>
            <w:r>
              <w:t>11.41</w:t>
            </w:r>
          </w:p>
        </w:tc>
        <w:tc>
          <w:tcPr>
            <w:tcW w:w="1331" w:type="dxa"/>
          </w:tcPr>
          <w:p>
            <w:pPr>
              <w:jc w:val="left"/>
            </w:pPr>
            <w:r>
              <w:t>&lt; 0.001</w:t>
            </w:r>
          </w:p>
        </w:tc>
      </w:tr>
      <w:tr>
        <w:tblPrEx>
          <w:tblLayout w:type="fixed"/>
          <w:tblCellMar>
            <w:top w:w="0" w:type="dxa"/>
            <w:left w:w="108" w:type="dxa"/>
            <w:bottom w:w="0" w:type="dxa"/>
            <w:right w:w="108" w:type="dxa"/>
          </w:tblCellMar>
        </w:tblPrEx>
        <w:tc>
          <w:tcPr>
            <w:tcW w:w="2551" w:type="dxa"/>
          </w:tcPr>
          <w:p>
            <w:pPr>
              <w:jc w:val="left"/>
            </w:pPr>
            <w:r>
              <w:t>sd_(Intercept).pop</w:t>
            </w:r>
          </w:p>
        </w:tc>
        <w:tc>
          <w:tcPr>
            <w:tcW w:w="2372" w:type="dxa"/>
          </w:tcPr>
          <w:p>
            <w:pPr>
              <w:jc w:val="left"/>
            </w:pPr>
            <w:r>
              <w:t>0.3</w:t>
            </w:r>
          </w:p>
        </w:tc>
        <w:tc>
          <w:tcPr>
            <w:tcW w:w="2324" w:type="dxa"/>
          </w:tcPr>
          <w:p/>
        </w:tc>
        <w:tc>
          <w:tcPr>
            <w:tcW w:w="1610" w:type="dxa"/>
          </w:tcPr>
          <w:p/>
        </w:tc>
        <w:tc>
          <w:tcPr>
            <w:tcW w:w="1331" w:type="dxa"/>
          </w:tcPr>
          <w:p/>
        </w:tc>
      </w:tr>
    </w:tbl>
    <w:p>
      <w:pPr>
        <w:pStyle w:val="3"/>
      </w:pPr>
      <w:bookmarkStart w:id="6" w:name="strategy-for-finding-of-calibration-samples"/>
      <w:r>
        <w:t>Strategy for finding of calibration samples</w:t>
      </w:r>
      <w:bookmarkEnd w:id="6"/>
    </w:p>
    <w:p>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4 describing the dependence of probability of correct species identification (Pcorrect) on proportion of M.trossulus (Ptros) and morphotype (Morph).</w:t>
      </w:r>
    </w:p>
    <w:p>
      <w:pPr>
        <w:pStyle w:val="3"/>
      </w:pPr>
      <w:bookmarkStart w:id="7" w:name="theoretical-models-1"/>
      <w:r>
        <w:t>Theoretical models</w:t>
      </w:r>
      <w:bookmarkEnd w:id="7"/>
    </w:p>
    <w:p>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6324600"/>
                    </a:xfrm>
                    <a:prstGeom prst="rect">
                      <a:avLst/>
                    </a:prstGeom>
                    <a:noFill/>
                    <a:ln w="9525">
                      <a:noFill/>
                    </a:ln>
                  </pic:spPr>
                </pic:pic>
              </a:graphicData>
            </a:graphic>
          </wp:inline>
        </w:drawing>
      </w:r>
    </w:p>
    <w:p>
      <w:pPr>
        <w:pStyle w:val="11"/>
      </w:pPr>
      <w:r>
        <w:t>Figure +. Visualisation of regression models and theoretical models. Points represent the testing data set. На этом рисунке пунктирная линия - это эмпирическая регрессионная модель, построенная по modelling dataset (объединенные данные по Белому и опресненному Баренцевому морю). Сплошная линия - это пердсказания соответствующих теоретических моделей, которые построены на основе калибровочных выборок. Калибровочные выборки были отобраны на основе стратегии, описанной в предыдущем разделе. То есть для теоретической модели №1 - это максимально различные по генетическому составу выборки. Для теоретической моедли №2 это выборки имеющие Ptros близкое к 0.5. Серые линии - это предсказаня теоретической модели, построенной на неправомерных калибровочных выборках.</w:t>
      </w:r>
    </w:p>
    <w:p>
      <w:pPr>
        <w:pStyle w:val="11"/>
      </w:pPr>
      <w:r>
        <w:t>Можно привести еще вот такую таблицу, в которой будут характеристики калибровочных выборок. Эти данные можно привести в виде врезки на графиках.</w:t>
      </w:r>
    </w:p>
    <w:tbl>
      <w:tblPr>
        <w:tblStyle w:val="26"/>
        <w:tblpPr w:leftFromText="180" w:rightFromText="180" w:vertAnchor="text" w:horzAnchor="page" w:tblpX="1130" w:tblpY="681"/>
        <w:tblOverlap w:val="never"/>
        <w:tblW w:w="10185" w:type="dxa"/>
        <w:tblInd w:w="0" w:type="dxa"/>
        <w:tblLayout w:type="fixed"/>
        <w:tblCellMar>
          <w:top w:w="0" w:type="dxa"/>
          <w:left w:w="108" w:type="dxa"/>
          <w:bottom w:w="0" w:type="dxa"/>
          <w:right w:w="108" w:type="dxa"/>
        </w:tblCellMar>
      </w:tblPr>
      <w:tblGrid>
        <w:gridCol w:w="1908"/>
        <w:gridCol w:w="1391"/>
        <w:gridCol w:w="1195"/>
        <w:gridCol w:w="1195"/>
        <w:gridCol w:w="1624"/>
        <w:gridCol w:w="1624"/>
        <w:gridCol w:w="1248"/>
      </w:tblGrid>
      <w:tr>
        <w:tblPrEx>
          <w:tblLayout w:type="fixed"/>
          <w:tblCellMar>
            <w:top w:w="0" w:type="dxa"/>
            <w:left w:w="108" w:type="dxa"/>
            <w:bottom w:w="0" w:type="dxa"/>
            <w:right w:w="108" w:type="dxa"/>
          </w:tblCellMar>
        </w:tblPrEx>
        <w:tc>
          <w:tcPr>
            <w:tcW w:w="1908" w:type="dxa"/>
            <w:tcBorders>
              <w:bottom w:val="single" w:color="auto" w:sz="0" w:space="0"/>
            </w:tcBorders>
            <w:vAlign w:val="bottom"/>
          </w:tcPr>
          <w:p>
            <w:pPr>
              <w:jc w:val="left"/>
            </w:pPr>
            <w:bookmarkStart w:id="8" w:name="_GoBack"/>
            <w:bookmarkEnd w:id="8"/>
            <w:r>
              <w:t>pop</w:t>
            </w:r>
          </w:p>
        </w:tc>
        <w:tc>
          <w:tcPr>
            <w:tcW w:w="1391" w:type="dxa"/>
            <w:tcBorders>
              <w:bottom w:val="single" w:color="auto" w:sz="0" w:space="0"/>
            </w:tcBorders>
            <w:vAlign w:val="bottom"/>
          </w:tcPr>
          <w:p>
            <w:pPr>
              <w:jc w:val="left"/>
            </w:pPr>
            <w:r>
              <w:t>Subset</w:t>
            </w:r>
          </w:p>
        </w:tc>
        <w:tc>
          <w:tcPr>
            <w:tcW w:w="1195" w:type="dxa"/>
            <w:tcBorders>
              <w:bottom w:val="single" w:color="auto" w:sz="0" w:space="0"/>
            </w:tcBorders>
            <w:vAlign w:val="bottom"/>
          </w:tcPr>
          <w:p>
            <w:pPr>
              <w:jc w:val="right"/>
            </w:pPr>
            <w:r>
              <w:t>N_E</w:t>
            </w:r>
          </w:p>
        </w:tc>
        <w:tc>
          <w:tcPr>
            <w:tcW w:w="1195" w:type="dxa"/>
            <w:tcBorders>
              <w:bottom w:val="single" w:color="auto" w:sz="0" w:space="0"/>
            </w:tcBorders>
            <w:vAlign w:val="bottom"/>
          </w:tcPr>
          <w:p>
            <w:pPr>
              <w:jc w:val="right"/>
            </w:pPr>
            <w:r>
              <w:t>N_T</w:t>
            </w:r>
          </w:p>
        </w:tc>
        <w:tc>
          <w:tcPr>
            <w:tcW w:w="1624" w:type="dxa"/>
            <w:tcBorders>
              <w:bottom w:val="single" w:color="auto" w:sz="0" w:space="0"/>
            </w:tcBorders>
            <w:vAlign w:val="bottom"/>
          </w:tcPr>
          <w:p>
            <w:pPr>
              <w:jc w:val="right"/>
            </w:pPr>
            <w:r>
              <w:t>P_T_ME</w:t>
            </w:r>
          </w:p>
        </w:tc>
        <w:tc>
          <w:tcPr>
            <w:tcW w:w="1624" w:type="dxa"/>
            <w:tcBorders>
              <w:bottom w:val="single" w:color="auto" w:sz="0" w:space="0"/>
            </w:tcBorders>
            <w:vAlign w:val="bottom"/>
          </w:tcPr>
          <w:p>
            <w:pPr>
              <w:jc w:val="right"/>
            </w:pPr>
            <w:r>
              <w:t>P_T_MT</w:t>
            </w:r>
          </w:p>
        </w:tc>
        <w:tc>
          <w:tcPr>
            <w:tcW w:w="1248" w:type="dxa"/>
            <w:tcBorders>
              <w:bottom w:val="single" w:color="auto" w:sz="0" w:space="0"/>
            </w:tcBorders>
            <w:vAlign w:val="bottom"/>
          </w:tcPr>
          <w:p>
            <w:pPr>
              <w:jc w:val="right"/>
            </w:pPr>
            <w:r>
              <w:t>Ptros</w:t>
            </w:r>
          </w:p>
        </w:tc>
      </w:tr>
      <w:tr>
        <w:tblPrEx>
          <w:tblLayout w:type="fixed"/>
          <w:tblCellMar>
            <w:top w:w="0" w:type="dxa"/>
            <w:left w:w="108" w:type="dxa"/>
            <w:bottom w:w="0" w:type="dxa"/>
            <w:right w:w="108" w:type="dxa"/>
          </w:tblCellMar>
        </w:tblPrEx>
        <w:tc>
          <w:tcPr>
            <w:tcW w:w="1908" w:type="dxa"/>
          </w:tcPr>
          <w:p>
            <w:pPr>
              <w:jc w:val="left"/>
            </w:pPr>
            <w:r>
              <w:rPr>
                <w:b/>
              </w:rPr>
              <w:t>Theoretical model 1</w:t>
            </w:r>
          </w:p>
        </w:tc>
        <w:tc>
          <w:tcPr>
            <w:tcW w:w="1391" w:type="dxa"/>
          </w:tcPr>
          <w:p/>
        </w:tc>
        <w:tc>
          <w:tcPr>
            <w:tcW w:w="1195" w:type="dxa"/>
          </w:tcPr>
          <w:p/>
        </w:tc>
        <w:tc>
          <w:tcPr>
            <w:tcW w:w="1195" w:type="dxa"/>
          </w:tcPr>
          <w:p/>
        </w:tc>
        <w:tc>
          <w:tcPr>
            <w:tcW w:w="1624" w:type="dxa"/>
          </w:tcPr>
          <w:p/>
        </w:tc>
        <w:tc>
          <w:tcPr>
            <w:tcW w:w="1624" w:type="dxa"/>
          </w:tcPr>
          <w:p/>
        </w:tc>
        <w:tc>
          <w:tcPr>
            <w:tcW w:w="1248" w:type="dxa"/>
          </w:tcPr>
          <w:p/>
        </w:tc>
      </w:tr>
      <w:tr>
        <w:tblPrEx>
          <w:tblLayout w:type="fixed"/>
          <w:tblCellMar>
            <w:top w:w="0" w:type="dxa"/>
            <w:left w:w="108" w:type="dxa"/>
            <w:bottom w:w="0" w:type="dxa"/>
            <w:right w:w="108" w:type="dxa"/>
          </w:tblCellMar>
        </w:tblPrEx>
        <w:tc>
          <w:tcPr>
            <w:tcW w:w="1908" w:type="dxa"/>
          </w:tcPr>
          <w:p>
            <w:pPr>
              <w:jc w:val="left"/>
            </w:pPr>
            <w:r>
              <w:t>belok2</w:t>
            </w:r>
          </w:p>
        </w:tc>
        <w:tc>
          <w:tcPr>
            <w:tcW w:w="1391" w:type="dxa"/>
          </w:tcPr>
          <w:p>
            <w:pPr>
              <w:jc w:val="left"/>
            </w:pPr>
            <w:r>
              <w:t>BL</w:t>
            </w:r>
          </w:p>
        </w:tc>
        <w:tc>
          <w:tcPr>
            <w:tcW w:w="1195" w:type="dxa"/>
          </w:tcPr>
          <w:p>
            <w:pPr>
              <w:jc w:val="right"/>
            </w:pPr>
            <w:r>
              <w:t>1</w:t>
            </w:r>
          </w:p>
        </w:tc>
        <w:tc>
          <w:tcPr>
            <w:tcW w:w="1195" w:type="dxa"/>
          </w:tcPr>
          <w:p>
            <w:pPr>
              <w:jc w:val="right"/>
            </w:pPr>
            <w:r>
              <w:t>49</w:t>
            </w:r>
          </w:p>
        </w:tc>
        <w:tc>
          <w:tcPr>
            <w:tcW w:w="1624" w:type="dxa"/>
          </w:tcPr>
          <w:p>
            <w:pPr>
              <w:jc w:val="right"/>
            </w:pPr>
            <w:r>
              <w:t>0.02</w:t>
            </w:r>
          </w:p>
        </w:tc>
        <w:tc>
          <w:tcPr>
            <w:tcW w:w="1624" w:type="dxa"/>
          </w:tcPr>
          <w:p>
            <w:pPr>
              <w:jc w:val="right"/>
            </w:pPr>
            <w:r>
              <w:t>0.90</w:t>
            </w:r>
          </w:p>
        </w:tc>
        <w:tc>
          <w:tcPr>
            <w:tcW w:w="1248" w:type="dxa"/>
          </w:tcPr>
          <w:p>
            <w:pPr>
              <w:jc w:val="right"/>
            </w:pPr>
            <w:r>
              <w:t>0.98</w:t>
            </w:r>
          </w:p>
        </w:tc>
      </w:tr>
      <w:tr>
        <w:tblPrEx>
          <w:tblLayout w:type="fixed"/>
          <w:tblCellMar>
            <w:top w:w="0" w:type="dxa"/>
            <w:left w:w="108" w:type="dxa"/>
            <w:bottom w:w="0" w:type="dxa"/>
            <w:right w:w="108" w:type="dxa"/>
          </w:tblCellMar>
        </w:tblPrEx>
        <w:tc>
          <w:tcPr>
            <w:tcW w:w="1908" w:type="dxa"/>
          </w:tcPr>
          <w:p>
            <w:pPr>
              <w:jc w:val="left"/>
            </w:pPr>
            <w:r>
              <w:t>nm</w:t>
            </w:r>
          </w:p>
        </w:tc>
        <w:tc>
          <w:tcPr>
            <w:tcW w:w="1391" w:type="dxa"/>
          </w:tcPr>
          <w:p>
            <w:pPr>
              <w:jc w:val="left"/>
            </w:pPr>
            <w:r>
              <w:t>BL</w:t>
            </w:r>
          </w:p>
        </w:tc>
        <w:tc>
          <w:tcPr>
            <w:tcW w:w="1195" w:type="dxa"/>
          </w:tcPr>
          <w:p>
            <w:pPr>
              <w:jc w:val="right"/>
            </w:pPr>
            <w:r>
              <w:t>37</w:t>
            </w:r>
          </w:p>
        </w:tc>
        <w:tc>
          <w:tcPr>
            <w:tcW w:w="1195" w:type="dxa"/>
          </w:tcPr>
          <w:p>
            <w:pPr>
              <w:jc w:val="right"/>
            </w:pPr>
            <w:r>
              <w:t>0</w:t>
            </w:r>
          </w:p>
        </w:tc>
        <w:tc>
          <w:tcPr>
            <w:tcW w:w="1624" w:type="dxa"/>
          </w:tcPr>
          <w:p>
            <w:pPr>
              <w:jc w:val="right"/>
            </w:pPr>
            <w:r>
              <w:t>0.00</w:t>
            </w:r>
          </w:p>
        </w:tc>
        <w:tc>
          <w:tcPr>
            <w:tcW w:w="1624" w:type="dxa"/>
          </w:tcPr>
          <w:p>
            <w:pPr>
              <w:jc w:val="right"/>
            </w:pPr>
            <w:r>
              <w:t>0.00</w:t>
            </w:r>
          </w:p>
        </w:tc>
        <w:tc>
          <w:tcPr>
            <w:tcW w:w="1248" w:type="dxa"/>
          </w:tcPr>
          <w:p>
            <w:pPr>
              <w:jc w:val="right"/>
            </w:pPr>
            <w:r>
              <w:t>0.00</w:t>
            </w:r>
          </w:p>
        </w:tc>
      </w:tr>
      <w:tr>
        <w:tblPrEx>
          <w:tblLayout w:type="fixed"/>
          <w:tblCellMar>
            <w:top w:w="0" w:type="dxa"/>
            <w:left w:w="108" w:type="dxa"/>
            <w:bottom w:w="0" w:type="dxa"/>
            <w:right w:w="108" w:type="dxa"/>
          </w:tblCellMar>
        </w:tblPrEx>
        <w:tc>
          <w:tcPr>
            <w:tcW w:w="1908" w:type="dxa"/>
          </w:tcPr>
          <w:p>
            <w:pPr>
              <w:jc w:val="left"/>
            </w:pPr>
            <w:r>
              <w:rPr>
                <w:b/>
              </w:rPr>
              <w:t>Theoretical model 2</w:t>
            </w:r>
          </w:p>
        </w:tc>
        <w:tc>
          <w:tcPr>
            <w:tcW w:w="1391" w:type="dxa"/>
          </w:tcPr>
          <w:p/>
        </w:tc>
        <w:tc>
          <w:tcPr>
            <w:tcW w:w="1195" w:type="dxa"/>
          </w:tcPr>
          <w:p/>
        </w:tc>
        <w:tc>
          <w:tcPr>
            <w:tcW w:w="1195" w:type="dxa"/>
          </w:tcPr>
          <w:p/>
        </w:tc>
        <w:tc>
          <w:tcPr>
            <w:tcW w:w="1624" w:type="dxa"/>
          </w:tcPr>
          <w:p/>
        </w:tc>
        <w:tc>
          <w:tcPr>
            <w:tcW w:w="1624" w:type="dxa"/>
          </w:tcPr>
          <w:p/>
        </w:tc>
        <w:tc>
          <w:tcPr>
            <w:tcW w:w="1248" w:type="dxa"/>
          </w:tcPr>
          <w:p/>
        </w:tc>
      </w:tr>
      <w:tr>
        <w:tblPrEx>
          <w:tblLayout w:type="fixed"/>
          <w:tblCellMar>
            <w:top w:w="0" w:type="dxa"/>
            <w:left w:w="108" w:type="dxa"/>
            <w:bottom w:w="0" w:type="dxa"/>
            <w:right w:w="108" w:type="dxa"/>
          </w:tblCellMar>
        </w:tblPrEx>
        <w:tc>
          <w:tcPr>
            <w:tcW w:w="1908" w:type="dxa"/>
          </w:tcPr>
          <w:p>
            <w:pPr>
              <w:jc w:val="left"/>
            </w:pPr>
            <w:r>
              <w:t>fr</w:t>
            </w:r>
          </w:p>
        </w:tc>
        <w:tc>
          <w:tcPr>
            <w:tcW w:w="1391" w:type="dxa"/>
          </w:tcPr>
          <w:p>
            <w:pPr>
              <w:jc w:val="left"/>
            </w:pPr>
            <w:r>
              <w:t>BL</w:t>
            </w:r>
          </w:p>
        </w:tc>
        <w:tc>
          <w:tcPr>
            <w:tcW w:w="1195" w:type="dxa"/>
          </w:tcPr>
          <w:p>
            <w:pPr>
              <w:jc w:val="right"/>
            </w:pPr>
            <w:r>
              <w:t>39</w:t>
            </w:r>
          </w:p>
        </w:tc>
        <w:tc>
          <w:tcPr>
            <w:tcW w:w="1195" w:type="dxa"/>
          </w:tcPr>
          <w:p>
            <w:pPr>
              <w:jc w:val="right"/>
            </w:pPr>
            <w:r>
              <w:t>16</w:t>
            </w:r>
          </w:p>
        </w:tc>
        <w:tc>
          <w:tcPr>
            <w:tcW w:w="1624" w:type="dxa"/>
          </w:tcPr>
          <w:p>
            <w:pPr>
              <w:jc w:val="right"/>
            </w:pPr>
            <w:r>
              <w:t>0.07</w:t>
            </w:r>
          </w:p>
        </w:tc>
        <w:tc>
          <w:tcPr>
            <w:tcW w:w="1624" w:type="dxa"/>
          </w:tcPr>
          <w:p>
            <w:pPr>
              <w:jc w:val="right"/>
            </w:pPr>
            <w:r>
              <w:t>0.16</w:t>
            </w:r>
          </w:p>
        </w:tc>
        <w:tc>
          <w:tcPr>
            <w:tcW w:w="1248" w:type="dxa"/>
          </w:tcPr>
          <w:p>
            <w:pPr>
              <w:jc w:val="right"/>
            </w:pPr>
            <w:r>
              <w:t>0.29</w:t>
            </w:r>
          </w:p>
        </w:tc>
      </w:tr>
      <w:tr>
        <w:tblPrEx>
          <w:tblLayout w:type="fixed"/>
          <w:tblCellMar>
            <w:top w:w="0" w:type="dxa"/>
            <w:left w:w="108" w:type="dxa"/>
            <w:bottom w:w="0" w:type="dxa"/>
            <w:right w:w="108" w:type="dxa"/>
          </w:tblCellMar>
        </w:tblPrEx>
        <w:tc>
          <w:tcPr>
            <w:tcW w:w="1908" w:type="dxa"/>
          </w:tcPr>
          <w:p>
            <w:pPr>
              <w:jc w:val="left"/>
            </w:pPr>
            <w:r>
              <w:t>porya</w:t>
            </w:r>
          </w:p>
        </w:tc>
        <w:tc>
          <w:tcPr>
            <w:tcW w:w="1391" w:type="dxa"/>
          </w:tcPr>
          <w:p>
            <w:pPr>
              <w:jc w:val="left"/>
            </w:pPr>
            <w:r>
              <w:t>W</w:t>
            </w:r>
          </w:p>
        </w:tc>
        <w:tc>
          <w:tcPr>
            <w:tcW w:w="1195" w:type="dxa"/>
          </w:tcPr>
          <w:p>
            <w:pPr>
              <w:jc w:val="right"/>
            </w:pPr>
            <w:r>
              <w:t>36</w:t>
            </w:r>
          </w:p>
        </w:tc>
        <w:tc>
          <w:tcPr>
            <w:tcW w:w="1195" w:type="dxa"/>
          </w:tcPr>
          <w:p>
            <w:pPr>
              <w:jc w:val="right"/>
            </w:pPr>
            <w:r>
              <w:t>6</w:t>
            </w:r>
          </w:p>
        </w:tc>
        <w:tc>
          <w:tcPr>
            <w:tcW w:w="1624" w:type="dxa"/>
          </w:tcPr>
          <w:p>
            <w:pPr>
              <w:jc w:val="right"/>
            </w:pPr>
            <w:r>
              <w:t>0.00</w:t>
            </w:r>
          </w:p>
        </w:tc>
        <w:tc>
          <w:tcPr>
            <w:tcW w:w="1624" w:type="dxa"/>
          </w:tcPr>
          <w:p>
            <w:pPr>
              <w:jc w:val="right"/>
            </w:pPr>
            <w:r>
              <w:t>0.10</w:t>
            </w:r>
          </w:p>
        </w:tc>
        <w:tc>
          <w:tcPr>
            <w:tcW w:w="1248" w:type="dxa"/>
          </w:tcPr>
          <w:p>
            <w:pPr>
              <w:jc w:val="right"/>
            </w:pPr>
            <w:r>
              <w:t>0.14</w:t>
            </w:r>
          </w:p>
        </w:tc>
      </w:tr>
    </w:tbl>
    <w:p/>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3FC6CB8"/>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qFormat/>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qFormat/>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qFormat/>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qFormat/>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qFormat/>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character" w:customStyle="1" w:styleId="28">
    <w:name w:val="Заголовок 1 Знак"/>
    <w:basedOn w:val="18"/>
    <w:link w:val="2"/>
    <w:qFormat/>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qFormat/>
    <w:uiPriority w:val="0"/>
    <w:rPr>
      <w:sz w:val="24"/>
      <w:lang w:val="ru-RU" w:eastAsia="ru-RU" w:bidi="ar-SA"/>
    </w:rPr>
  </w:style>
  <w:style w:type="character" w:customStyle="1" w:styleId="32">
    <w:name w:val="Основной текст с отступом Знак"/>
    <w:basedOn w:val="18"/>
    <w:link w:val="12"/>
    <w:semiHidden/>
    <w:qFormat/>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qFormat/>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qFormat/>
    <w:uiPriority w:val="0"/>
    <w:rPr>
      <w:sz w:val="0"/>
      <w:szCs w:val="0"/>
      <w:lang w:val="ru-RU" w:eastAsia="ru-RU" w:bidi="ar-SA"/>
    </w:rPr>
  </w:style>
  <w:style w:type="character" w:customStyle="1" w:styleId="39">
    <w:name w:val="Знак4"/>
    <w:basedOn w:val="18"/>
    <w:qFormat/>
    <w:locked/>
    <w:uiPriority w:val="0"/>
    <w:rPr>
      <w:sz w:val="28"/>
      <w:szCs w:val="28"/>
    </w:rPr>
  </w:style>
  <w:style w:type="character" w:customStyle="1" w:styleId="40">
    <w:name w:val="Знак3"/>
    <w:basedOn w:val="18"/>
    <w:qFormat/>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qFormat/>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qFormat/>
    <w:uiPriority w:val="0"/>
  </w:style>
  <w:style w:type="character" w:customStyle="1" w:styleId="48">
    <w:name w:val="grame"/>
    <w:basedOn w:val="18"/>
    <w:qFormat/>
    <w:uiPriority w:val="0"/>
  </w:style>
  <w:style w:type="character" w:customStyle="1" w:styleId="49">
    <w:name w:val="ref-journal"/>
    <w:basedOn w:val="18"/>
    <w:qFormat/>
    <w:uiPriority w:val="0"/>
  </w:style>
  <w:style w:type="character" w:customStyle="1" w:styleId="50">
    <w:name w:val="ref-vol"/>
    <w:basedOn w:val="18"/>
    <w:qFormat/>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21</TotalTime>
  <ScaleCrop>false</ScaleCrop>
  <LinksUpToDate>false</LinksUpToDate>
  <CharactersWithSpaces>3680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2019-12-01T17:20:00Z</dcterms:created>
  <dc:creator>polyd</dc:creator>
  <cp:lastModifiedBy>polyd</cp:lastModifiedBy>
  <dcterms:modified xsi:type="dcterms:W3CDTF">2019-12-01T17:25:14Z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