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Tables</w:t>
      </w:r>
    </w:p>
    <w:p>
      <w:r>
        <w:t>Table ++. Parameters of regression models fitted</w:t>
      </w:r>
    </w:p>
    <w:tbl>
      <w:tblPr>
        <w:tblStyle w:val="2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1689"/>
        <w:gridCol w:w="1650"/>
        <w:gridCol w:w="983"/>
        <w:gridCol w:w="8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z-statistic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Model 1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 w:val="20"/>
                <w:szCs w:val="20"/>
                <w:lang w:val="en-US"/>
              </w:rPr>
              <w:t>(GLM)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p>
            </m:oMath>
            <w:r>
              <w:rPr>
                <w:sz w:val="20"/>
                <w:szCs w:val="20"/>
              </w:rPr>
              <w:t xml:space="preserve"> = 0.38</w:t>
            </w: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-18.23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(BL)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(BL)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-3.38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Model 2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 w:val="20"/>
                <w:szCs w:val="20"/>
                <w:lang w:val="en-US"/>
              </w:rPr>
              <w:t>(GLMM)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b>
                  <m:r>
                    <w:rPr>
                      <w:sz w:val="20"/>
                      <w:szCs w:val="20"/>
                    </w:rPr>
                    <m:t>m</m:t>
                  </m:r>
                  <m:ctrlPr>
                    <w:rPr>
                      <w:sz w:val="20"/>
                      <w:szCs w:val="20"/>
                    </w:rPr>
                  </m:ctrlPr>
                </m:sub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bSup>
            </m:oMath>
            <w:r>
              <w:rPr>
                <w:sz w:val="20"/>
                <w:szCs w:val="20"/>
              </w:rPr>
              <w:t xml:space="preserve"> = 0.57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b>
                  <m:r>
                    <w:rPr>
                      <w:sz w:val="20"/>
                      <w:szCs w:val="20"/>
                    </w:rPr>
                    <m:t>c</m:t>
                  </m:r>
                  <m:ctrlPr>
                    <w:rPr>
                      <w:sz w:val="20"/>
                      <w:szCs w:val="20"/>
                    </w:rPr>
                  </m:ctrlPr>
                </m:sub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bSup>
            </m:oMath>
            <w:r>
              <w:rPr>
                <w:sz w:val="20"/>
                <w:szCs w:val="20"/>
              </w:rPr>
              <w:t xml:space="preserve"> = 0.64</w:t>
            </w: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-10.89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(BL)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(BL)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1.51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1.29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-1.36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-3.02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(BL)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(BH)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-4.87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(BL)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1.46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(BH)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sd_(Intercept)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Model 3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 w:val="20"/>
                <w:szCs w:val="20"/>
                <w:lang w:val="en-US"/>
              </w:rPr>
              <w:t>(GLMM)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b>
                  <m:r>
                    <w:rPr>
                      <w:sz w:val="20"/>
                      <w:szCs w:val="20"/>
                    </w:rPr>
                    <m:t>m</m:t>
                  </m:r>
                  <m:ctrlPr>
                    <w:rPr>
                      <w:sz w:val="20"/>
                      <w:szCs w:val="20"/>
                    </w:rPr>
                  </m:ctrlPr>
                </m:sub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bSup>
            </m:oMath>
            <w:r>
              <w:rPr>
                <w:sz w:val="20"/>
                <w:szCs w:val="20"/>
              </w:rPr>
              <w:t xml:space="preserve"> = 0.4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b>
                  <m:r>
                    <w:rPr>
                      <w:sz w:val="20"/>
                      <w:szCs w:val="20"/>
                    </w:rPr>
                    <m:t>c</m:t>
                  </m:r>
                  <m:ctrlPr>
                    <w:rPr>
                      <w:sz w:val="20"/>
                      <w:szCs w:val="20"/>
                    </w:rPr>
                  </m:ctrlPr>
                </m:sub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bSup>
            </m:oMath>
            <w:r>
              <w:rPr>
                <w:sz w:val="20"/>
                <w:szCs w:val="20"/>
              </w:rPr>
              <w:t xml:space="preserve"> = 0.42</w:t>
            </w: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13.99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-9.12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-9.57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(BL)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:Ptros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:Set</w:t>
            </w:r>
            <w:r>
              <w:rPr>
                <w:sz w:val="20"/>
                <w:szCs w:val="20"/>
                <w:vertAlign w:val="subscript"/>
              </w:rPr>
              <w:t>(BL)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-2.71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(BL)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:Ptros:Set</w:t>
            </w:r>
            <w:r>
              <w:rPr>
                <w:sz w:val="20"/>
                <w:szCs w:val="20"/>
                <w:vertAlign w:val="subscript"/>
              </w:rPr>
              <w:t>(BL)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:Ptros:Set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sd_(Intercept)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Model 4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 w:val="20"/>
                <w:szCs w:val="20"/>
                <w:lang w:val="en-US"/>
              </w:rPr>
              <w:t>(GLM)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p>
            </m:oMath>
            <w:r>
              <w:rPr>
                <w:sz w:val="20"/>
                <w:szCs w:val="20"/>
              </w:rPr>
              <w:t xml:space="preserve"> = 0.42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b>
                  <m:r>
                    <w:rPr>
                      <w:sz w:val="20"/>
                      <w:szCs w:val="20"/>
                    </w:rPr>
                    <m:t>c</m:t>
                  </m:r>
                  <m:ctrlPr>
                    <w:rPr>
                      <w:sz w:val="20"/>
                      <w:szCs w:val="20"/>
                    </w:rPr>
                  </m:ctrlPr>
                </m:sub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bSup>
            </m:oMath>
            <w:r>
              <w:rPr>
                <w:sz w:val="20"/>
                <w:szCs w:val="20"/>
              </w:rPr>
              <w:t xml:space="preserve"> = 0.42</w:t>
            </w: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-21.34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20.74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-4.55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default"/>
                <w:sz w:val="20"/>
                <w:szCs w:val="20"/>
                <w:lang w:val="en-US"/>
              </w:rPr>
              <w:t>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GOM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BALT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NORW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PT:Set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PT:Set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GOM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PT:Set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BALT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PT:Set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NORW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-2.81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Model 5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 w:val="20"/>
                <w:szCs w:val="20"/>
                <w:lang w:val="en-US"/>
              </w:rPr>
              <w:t>(GLMM)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b>
                  <m:r>
                    <w:rPr>
                      <w:sz w:val="20"/>
                      <w:szCs w:val="20"/>
                    </w:rPr>
                    <m:t>m</m:t>
                  </m:r>
                  <m:ctrlPr>
                    <w:rPr>
                      <w:sz w:val="20"/>
                      <w:szCs w:val="20"/>
                    </w:rPr>
                  </m:ctrlPr>
                </m:sub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bSup>
            </m:oMath>
            <w:r>
              <w:rPr>
                <w:sz w:val="20"/>
                <w:szCs w:val="20"/>
              </w:rPr>
              <w:t xml:space="preserve"> = 0.57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b>
                  <m:r>
                    <w:rPr>
                      <w:sz w:val="20"/>
                      <w:szCs w:val="20"/>
                    </w:rPr>
                    <m:t>c</m:t>
                  </m:r>
                  <m:ctrlPr>
                    <w:rPr>
                      <w:sz w:val="20"/>
                      <w:szCs w:val="20"/>
                    </w:rPr>
                  </m:ctrlPr>
                </m:sub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bSup>
            </m:oMath>
            <w:r>
              <w:rPr>
                <w:sz w:val="20"/>
                <w:szCs w:val="20"/>
              </w:rPr>
              <w:t xml:space="preserve"> = 0.66</w:t>
            </w: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-11.64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GOM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BALT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NORW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(G</w:t>
            </w:r>
            <w:r>
              <w:rPr>
                <w:sz w:val="20"/>
                <w:szCs w:val="20"/>
                <w:vertAlign w:val="subscript"/>
              </w:rPr>
              <w:t>OM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-0.98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BALT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2.56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NORW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2.04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-2.79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-2.45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(BH)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-5.16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GOM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BALT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1.64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NORW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-1.82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(BH)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GOM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BALT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2.41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NORW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  <w:r>
              <w:rPr>
                <w:sz w:val="20"/>
                <w:szCs w:val="20"/>
              </w:rPr>
              <w:t>:Species</w:t>
            </w:r>
            <w:r>
              <w:rPr>
                <w:sz w:val="20"/>
                <w:szCs w:val="20"/>
                <w:vertAlign w:val="subscript"/>
              </w:rPr>
              <w:t>(</w:t>
            </w:r>
            <w:r>
              <w:rPr>
                <w:i/>
                <w:sz w:val="20"/>
                <w:szCs w:val="20"/>
                <w:vertAlign w:val="subscript"/>
              </w:rPr>
              <w:t>M.trossulus</w:t>
            </w:r>
            <w:r>
              <w:rPr>
                <w:sz w:val="20"/>
                <w:szCs w:val="20"/>
                <w:vertAlign w:val="subscript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2.03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sd_(Intercept)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Model 6</w:t>
            </w:r>
            <w:r>
              <w:rPr>
                <w:rFonts w:hint="default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  <w:sz w:val="20"/>
                <w:szCs w:val="20"/>
                <w:lang w:val="en-US"/>
              </w:rPr>
              <w:t>(GLMM)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b>
                  <m:r>
                    <w:rPr>
                      <w:sz w:val="20"/>
                      <w:szCs w:val="20"/>
                    </w:rPr>
                    <m:t>m</m:t>
                  </m:r>
                  <m:ctrlPr>
                    <w:rPr>
                      <w:sz w:val="20"/>
                      <w:szCs w:val="20"/>
                    </w:rPr>
                  </m:ctrlPr>
                </m:sub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bSup>
            </m:oMath>
            <w:r>
              <w:rPr>
                <w:sz w:val="20"/>
                <w:szCs w:val="20"/>
              </w:rPr>
              <w:t xml:space="preserve"> = 0.5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>pseudo</m:t>
              </m:r>
              <m:sSubSup>
                <m:sSubSupPr>
                  <m:ctrlPr>
                    <w:rPr>
                      <w:sz w:val="20"/>
                      <w:szCs w:val="20"/>
                    </w:rPr>
                  </m:ctrlPr>
                </m:sSubSupPr>
                <m:e>
                  <m:r>
                    <w:rPr>
                      <w:sz w:val="20"/>
                      <w:szCs w:val="20"/>
                    </w:rPr>
                    <m:t>R</m:t>
                  </m:r>
                  <m:ctrlPr>
                    <w:rPr>
                      <w:sz w:val="20"/>
                      <w:szCs w:val="20"/>
                    </w:rPr>
                  </m:ctrlPr>
                </m:e>
                <m:sub>
                  <m:r>
                    <w:rPr>
                      <w:sz w:val="20"/>
                      <w:szCs w:val="20"/>
                    </w:rPr>
                    <m:t>c</m:t>
                  </m:r>
                  <m:ctrlPr>
                    <w:rPr>
                      <w:sz w:val="20"/>
                      <w:szCs w:val="20"/>
                    </w:rPr>
                  </m:ctrlPr>
                </m:sub>
                <m:sup>
                  <m:r>
                    <w:rPr>
                      <w:sz w:val="20"/>
                      <w:szCs w:val="20"/>
                    </w:rPr>
                    <m:t>2</m:t>
                  </m:r>
                  <m:ctrlPr>
                    <w:rPr>
                      <w:sz w:val="20"/>
                      <w:szCs w:val="20"/>
                    </w:rPr>
                  </m:ctrlPr>
                </m:sup>
              </m:sSubSup>
            </m:oMath>
            <w:r>
              <w:rPr>
                <w:sz w:val="20"/>
                <w:szCs w:val="20"/>
              </w:rPr>
              <w:t xml:space="preserve"> = 0.51</w:t>
            </w: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(Intercept)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17.23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-10.50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-12.00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GOM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BALT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NORW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:Ptros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12.90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-3.43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GOM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-2.18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BALT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1.54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NORW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-0.95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Ptros:Set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GOM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-2.92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BALT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-0.72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NORW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:Ptros:Set</w:t>
            </w:r>
            <w:r>
              <w:rPr>
                <w:sz w:val="20"/>
                <w:szCs w:val="20"/>
                <w:vertAlign w:val="subscript"/>
              </w:rPr>
              <w:t>(BH)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GOM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1.88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2.57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BALT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Morph</w:t>
            </w:r>
            <w:r>
              <w:rPr>
                <w:sz w:val="20"/>
                <w:szCs w:val="20"/>
                <w:vertAlign w:val="subscript"/>
              </w:rPr>
              <w:t>(T)</w:t>
            </w:r>
            <w:r>
              <w:rPr>
                <w:sz w:val="20"/>
                <w:szCs w:val="20"/>
              </w:rPr>
              <w:t>:Ptros:</w:t>
            </w:r>
            <w:r>
              <w:rPr>
                <w:sz w:val="20"/>
                <w:szCs w:val="20"/>
                <w:lang w:val="en-US"/>
              </w:rPr>
              <w:t>Set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(</w:t>
            </w:r>
            <w:r>
              <w:rPr>
                <w:sz w:val="20"/>
                <w:szCs w:val="20"/>
                <w:vertAlign w:val="subscript"/>
              </w:rPr>
              <w:t>NORW</w:t>
            </w:r>
            <w:r>
              <w:rPr>
                <w:rFonts w:hint="default"/>
                <w:sz w:val="20"/>
                <w:szCs w:val="20"/>
                <w:vertAlign w:val="subscript"/>
                <w:lang w:val="en-US"/>
              </w:rPr>
              <w:t>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1.94</w:t>
            </w:r>
          </w:p>
        </w:tc>
        <w:tc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1.86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sd_(Intercept)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  <w:tc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6"/>
      </w:pPr>
      <w:r>
        <w:t xml:space="preserve">   </w:t>
      </w:r>
    </w:p>
    <w:p>
      <w:pPr>
        <w:pStyle w:val="6"/>
      </w:pPr>
      <w:r>
        <w:t xml:space="preserve">   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 xml:space="preserve">Table 3. Formulas </w:t>
      </w:r>
      <w:bookmarkStart w:id="0" w:name="_GoBack"/>
      <w:r>
        <w:rPr>
          <w:rFonts w:hint="default"/>
          <w:lang w:val="en-US"/>
        </w:rPr>
        <w:t xml:space="preserve">of </w:t>
      </w:r>
      <w:bookmarkEnd w:id="0"/>
      <w:r>
        <w:rPr>
          <w:rFonts w:hint="default"/>
          <w:lang w:val="en-US"/>
        </w:rPr>
        <w:t>regression models</w:t>
      </w:r>
    </w:p>
    <w:p>
      <w:pPr>
        <w:pStyle w:val="6"/>
      </w:pPr>
      <w:r>
        <w:t xml:space="preserve">   </w:t>
      </w:r>
    </w:p>
    <w:tbl>
      <w:tblPr>
        <w:tblStyle w:val="2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895"/>
        <w:gridCol w:w="3147"/>
        <w:gridCol w:w="3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Model 4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Model 6 E-morphotype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Model 6 T-morphotype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WSBL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Ptros=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−2.4+5.4PT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−2.4+5.4PT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P(edu|E)=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3.7−4.9Ptros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3.7−4.9Ptros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P(tros|T)=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0.2+3.2Ptros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0.2+3.2Ptros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Ptros=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−3.9+5PT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−3.9+5PT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P(edu|E)=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3.3−4.8Ptros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3.3−4.8Ptros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P(tros|T)=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1.4−3.4Ptros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1.4−3.4Ptros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GOM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Ptros=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−2.3+6.2PT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−2.3+6.2PT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P(edu|E)=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4.7−8.1Ptros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4.7−8.1Ptros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P(tros|T)=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2.9−3.2Ptros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2.9−3.2Ptros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BALT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Ptros=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−0.6+11.6PT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−0.6+11.6PT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P(edu|E)=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2.7−5.4Ptros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2.7−5.4Ptros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P(tros|T)=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3.1−4.2Ptros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3.1−4.2Ptros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NORW</w:t>
            </w:r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Ptros=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−0.5+3.7PT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−0.5+3.7PT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P(edu|E)=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3.1−5Ptros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3.1−5Ptros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p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sz w:val="20"/>
                    <w:szCs w:val="20"/>
                  </w:rPr>
                  <m:t>P(tros|T)=</m:t>
                </m:r>
                <m:f>
                  <m:fPr>
                    <m:ctrlPr>
                      <w:rPr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2−1.4Ptros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sz w:val="20"/>
                            <w:szCs w:val="20"/>
                          </w:rPr>
                          <m:t>2−1.4Ptros</m:t>
                        </m:r>
                        <m:ctrlPr>
                          <w:rPr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</w:tr>
    </w:tbl>
    <w:p/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1EE1005"/>
    <w:rsid w:val="3E5E78E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0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9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"/>
    <w:basedOn w:val="1"/>
    <w:link w:val="34"/>
    <w:uiPriority w:val="0"/>
  </w:style>
  <w:style w:type="paragraph" w:styleId="7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8">
    <w:name w:val="Body Text 3"/>
    <w:basedOn w:val="1"/>
    <w:qFormat/>
    <w:uiPriority w:val="0"/>
    <w:rPr>
      <w:sz w:val="16"/>
      <w:szCs w:val="16"/>
    </w:rPr>
  </w:style>
  <w:style w:type="paragraph" w:styleId="9">
    <w:name w:val="Body Text Indent"/>
    <w:basedOn w:val="1"/>
    <w:link w:val="33"/>
    <w:qFormat/>
    <w:uiPriority w:val="0"/>
    <w:pPr>
      <w:ind w:left="283" w:firstLine="0"/>
    </w:pPr>
  </w:style>
  <w:style w:type="paragraph" w:styleId="10">
    <w:name w:val="Body Text Indent 2"/>
    <w:basedOn w:val="1"/>
    <w:link w:val="32"/>
    <w:uiPriority w:val="0"/>
    <w:pPr>
      <w:ind w:left="283"/>
    </w:pPr>
  </w:style>
  <w:style w:type="paragraph" w:styleId="11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2">
    <w:name w:val="footer"/>
    <w:basedOn w:val="1"/>
    <w:link w:val="36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3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14">
    <w:name w:val="header"/>
    <w:basedOn w:val="1"/>
    <w:link w:val="38"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7">
    <w:name w:val="Title"/>
    <w:basedOn w:val="2"/>
    <w:link w:val="46"/>
    <w:qFormat/>
    <w:uiPriority w:val="0"/>
  </w:style>
  <w:style w:type="character" w:styleId="19">
    <w:name w:val="Emphasis"/>
    <w:basedOn w:val="18"/>
    <w:qFormat/>
    <w:uiPriority w:val="0"/>
    <w:rPr>
      <w:b/>
      <w:bCs/>
    </w:rPr>
  </w:style>
  <w:style w:type="character" w:styleId="20">
    <w:name w:val="FollowedHyperlink"/>
    <w:basedOn w:val="18"/>
    <w:uiPriority w:val="0"/>
    <w:rPr>
      <w:color w:val="800080"/>
      <w:u w:val="single"/>
    </w:rPr>
  </w:style>
  <w:style w:type="character" w:styleId="21">
    <w:name w:val="footnote reference"/>
    <w:basedOn w:val="18"/>
    <w:semiHidden/>
    <w:qFormat/>
    <w:uiPriority w:val="0"/>
    <w:rPr>
      <w:vertAlign w:val="superscript"/>
    </w:rPr>
  </w:style>
  <w:style w:type="character" w:styleId="22">
    <w:name w:val="Hyperlink"/>
    <w:basedOn w:val="18"/>
    <w:qFormat/>
    <w:uiPriority w:val="0"/>
    <w:rPr>
      <w:color w:val="0000FF"/>
      <w:u w:val="single"/>
    </w:rPr>
  </w:style>
  <w:style w:type="character" w:styleId="23">
    <w:name w:val="line number"/>
    <w:basedOn w:val="18"/>
    <w:semiHidden/>
    <w:unhideWhenUsed/>
    <w:uiPriority w:val="99"/>
  </w:style>
  <w:style w:type="character" w:styleId="24">
    <w:name w:val="page number"/>
    <w:basedOn w:val="18"/>
    <w:qFormat/>
    <w:uiPriority w:val="0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table" w:styleId="28">
    <w:name w:val="Light Shading"/>
    <w:basedOn w:val="2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9">
    <w:name w:val="Заголовок 1 Знак"/>
    <w:basedOn w:val="18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30">
    <w:name w:val="Заголовок 2 Знак"/>
    <w:basedOn w:val="18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18"/>
    <w:link w:val="10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18"/>
    <w:link w:val="9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18"/>
    <w:link w:val="6"/>
    <w:qFormat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18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18"/>
    <w:link w:val="12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18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18"/>
    <w:link w:val="14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18"/>
    <w:link w:val="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18"/>
    <w:qFormat/>
    <w:locked/>
    <w:uiPriority w:val="0"/>
    <w:rPr>
      <w:sz w:val="28"/>
      <w:szCs w:val="28"/>
    </w:rPr>
  </w:style>
  <w:style w:type="character" w:customStyle="1" w:styleId="41">
    <w:name w:val="Знак3"/>
    <w:basedOn w:val="18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18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18"/>
    <w:qFormat/>
    <w:locked/>
    <w:uiPriority w:val="0"/>
    <w:rPr>
      <w:b/>
      <w:bCs/>
    </w:rPr>
  </w:style>
  <w:style w:type="character" w:customStyle="1" w:styleId="44">
    <w:name w:val="Текст сноски Знак"/>
    <w:basedOn w:val="18"/>
    <w:link w:val="13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18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18"/>
    <w:link w:val="17"/>
    <w:qFormat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18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18"/>
    <w:qFormat/>
    <w:uiPriority w:val="0"/>
  </w:style>
  <w:style w:type="character" w:customStyle="1" w:styleId="49">
    <w:name w:val="grame"/>
    <w:basedOn w:val="18"/>
    <w:qFormat/>
    <w:uiPriority w:val="0"/>
  </w:style>
  <w:style w:type="character" w:customStyle="1" w:styleId="50">
    <w:name w:val="ref-journal"/>
    <w:basedOn w:val="18"/>
    <w:qFormat/>
    <w:uiPriority w:val="0"/>
  </w:style>
  <w:style w:type="character" w:customStyle="1" w:styleId="51">
    <w:name w:val="ref-vol"/>
    <w:basedOn w:val="18"/>
    <w:qFormat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16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18"/>
    <w:qFormat/>
    <w:uiPriority w:val="0"/>
    <w:rPr>
      <w:rFonts w:ascii="Arial" w:hAnsi="Arial"/>
      <w:sz w:val="32"/>
    </w:r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qFormat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qFormat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2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45</TotalTime>
  <ScaleCrop>false</ScaleCrop>
  <LinksUpToDate>false</LinksUpToDate>
  <CharactersWithSpaces>3680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2020-07-05T15:37:00Z</dcterms:created>
  <dc:creator>polyd</dc:creator>
  <cp:lastModifiedBy>polyd</cp:lastModifiedBy>
  <dcterms:modified xsi:type="dcterms:W3CDTF">2020-07-05T16:03:43Z</dcterms:modified>
  <dc:title>Tables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