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W w:w="14244" w:type="dxa"/>
        <w:tblCellSpacing w:w="0" w:type="dxa"/>
        <w:tblInd w:w="1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9"/>
        <w:gridCol w:w="1430"/>
        <w:gridCol w:w="4599"/>
        <w:gridCol w:w="758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  <w:tblCellSpacing w:w="0" w:type="dxa"/>
        </w:trPr>
        <w:tc>
          <w:tcPr>
            <w:tcW w:w="629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0"/>
                <w:szCs w:val="20"/>
                <w:bdr w:val="none" w:color="auto" w:sz="0" w:space="0"/>
              </w:rPr>
              <w:t>Formula</w:t>
            </w:r>
          </w:p>
        </w:tc>
        <w:tc>
          <w:tcPr>
            <w:tcW w:w="143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0"/>
                <w:szCs w:val="20"/>
                <w:bdr w:val="none" w:color="auto" w:sz="0" w:space="0"/>
              </w:rPr>
              <w:t>Term</w:t>
            </w:r>
          </w:p>
        </w:tc>
        <w:tc>
          <w:tcPr>
            <w:tcW w:w="4599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0"/>
                <w:szCs w:val="20"/>
                <w:bdr w:val="none" w:color="auto" w:sz="0" w:space="0"/>
              </w:rPr>
              <w:t>Statistic?</w:t>
            </w:r>
          </w:p>
        </w:tc>
        <w:tc>
          <w:tcPr>
            <w:tcW w:w="7586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0"/>
                <w:szCs w:val="20"/>
                <w:bdr w:val="none" w:color="auto" w:sz="0" w:space="0"/>
              </w:rPr>
              <w:t>Comments?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  <w:tblCellSpacing w:w="0" w:type="dxa"/>
        </w:trPr>
        <w:tc>
          <w:tcPr>
            <w:tcW w:w="629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  <w:tc>
          <w:tcPr>
            <w:tcW w:w="143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i/>
                <w:color w:val="000000"/>
                <w:sz w:val="20"/>
                <w:szCs w:val="20"/>
                <w:bdr w:val="none" w:color="auto" w:sz="0" w:space="0"/>
              </w:rPr>
              <w:t>Sensitivity</w:t>
            </w:r>
          </w:p>
        </w:tc>
        <w:tc>
          <w:tcPr>
            <w:tcW w:w="4599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0"/>
                <w:szCs w:val="20"/>
                <w:bdr w:val="none" w:color="auto" w:sz="0" w:space="0"/>
              </w:rPr>
              <w:t>Frequency of T among MT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Probability of being T for MT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i/>
                <w:color w:val="0070C0"/>
                <w:sz w:val="20"/>
                <w:szCs w:val="20"/>
                <w:bdr w:val="none" w:color="auto" w:sz="0" w:space="0"/>
              </w:rPr>
              <w:t>Conditional probability of correctly indentifying the MT by T ??? НЕТ!  Это </w:t>
            </w:r>
            <w:r>
              <w:rPr>
                <w:b/>
                <w:i/>
                <w:color w:val="0070C0"/>
                <w:sz w:val="20"/>
                <w:szCs w:val="20"/>
                <w:bdr w:val="none" w:color="auto" w:sz="0" w:space="0"/>
              </w:rPr>
              <w:t>Probability to find T morphotype among MT (P_T|MT)</w:t>
            </w:r>
          </w:p>
        </w:tc>
        <w:tc>
          <w:tcPr>
            <w:tcW w:w="7586" w:type="dxa"/>
            <w:vMerge w:val="restar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From the frequency of morphotypes among  MT and ME, one can derive </w:t>
            </w:r>
            <w:r>
              <w:rPr>
                <w:i/>
                <w:color w:val="000000"/>
                <w:sz w:val="20"/>
                <w:szCs w:val="20"/>
                <w:bdr w:val="none" w:color="auto" w:sz="0" w:space="0"/>
              </w:rPr>
              <w:t>sensitivity</w:t>
            </w:r>
            <w:r>
              <w:rPr>
                <w:color w:val="000000"/>
                <w:sz w:val="20"/>
                <w:szCs w:val="20"/>
                <w:bdr w:val="none" w:color="auto" w:sz="0" w:space="0"/>
              </w:rPr>
              <w:t> and </w:t>
            </w:r>
            <w:r>
              <w:rPr>
                <w:i/>
                <w:color w:val="000000"/>
                <w:sz w:val="20"/>
                <w:szCs w:val="20"/>
                <w:bdr w:val="none" w:color="auto" w:sz="0" w:space="0"/>
              </w:rPr>
              <w:t>specificity</w:t>
            </w:r>
            <w:r>
              <w:rPr>
                <w:color w:val="000000"/>
                <w:sz w:val="20"/>
                <w:szCs w:val="20"/>
                <w:bdr w:val="none" w:color="auto" w:sz="0" w:space="0"/>
              </w:rPr>
              <w:t>.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0"/>
                <w:szCs w:val="20"/>
                <w:bdr w:val="none" w:color="auto" w:sz="0" w:space="0"/>
              </w:rPr>
              <w:t>Statistics measures the discriminatory value of the morphotypes: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0"/>
                <w:szCs w:val="20"/>
                <w:bdr w:val="none" w:color="auto" w:sz="0" w:space="0"/>
              </w:rPr>
              <w:t>Неее!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i/>
                <w:color w:val="000000"/>
                <w:sz w:val="20"/>
                <w:szCs w:val="20"/>
                <w:bdr w:val="none" w:color="auto" w:sz="0" w:space="0"/>
              </w:rPr>
              <w:t>Sensitivity</w:t>
            </w:r>
            <w:r>
              <w:rPr>
                <w:color w:val="000000"/>
                <w:sz w:val="20"/>
                <w:szCs w:val="20"/>
                <w:bdr w:val="none" w:color="auto" w:sz="0" w:space="0"/>
              </w:rPr>
              <w:t> evaluates how good the T is at detecting a MT;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i/>
                <w:color w:val="000000"/>
                <w:sz w:val="20"/>
                <w:szCs w:val="20"/>
                <w:bdr w:val="none" w:color="auto" w:sz="0" w:space="0"/>
              </w:rPr>
              <w:t>Sensitivity</w:t>
            </w:r>
            <w:r>
              <w:rPr>
                <w:b/>
                <w:color w:val="000000"/>
                <w:sz w:val="20"/>
                <w:szCs w:val="20"/>
                <w:bdr w:val="none" w:color="auto" w:sz="0" w:space="0"/>
              </w:rPr>
              <w:t> evaluates how strongly associated   T-morphtype with  MT - genotype</w:t>
            </w:r>
            <w:r>
              <w:rPr>
                <w:color w:val="000000"/>
                <w:sz w:val="20"/>
                <w:szCs w:val="20"/>
                <w:bdr w:val="none" w:color="auto" w:sz="0" w:space="0"/>
              </w:rP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i/>
                <w:color w:val="000000"/>
                <w:sz w:val="20"/>
                <w:szCs w:val="20"/>
                <w:bdr w:val="none" w:color="auto" w:sz="0" w:space="0"/>
              </w:rPr>
              <w:t>Specificity</w:t>
            </w:r>
            <w:r>
              <w:rPr>
                <w:color w:val="000000"/>
                <w:sz w:val="20"/>
                <w:szCs w:val="20"/>
                <w:bdr w:val="none" w:color="auto" w:sz="0" w:space="0"/>
              </w:rPr>
              <w:t> estimates how likely ME can be correctly ruled out .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i/>
                <w:color w:val="000000"/>
                <w:sz w:val="20"/>
                <w:szCs w:val="20"/>
                <w:bdr w:val="none" w:color="auto" w:sz="0" w:space="0"/>
              </w:rPr>
              <w:t>Specificity</w:t>
            </w:r>
            <w:r>
              <w:rPr>
                <w:b/>
                <w:color w:val="000000"/>
                <w:sz w:val="20"/>
                <w:szCs w:val="20"/>
                <w:bdr w:val="none" w:color="auto" w:sz="0" w:space="0"/>
              </w:rPr>
              <w:t> estimates how likely the absence of T-morphotype could be considered as the evidence of ME-genotype</w:t>
            </w:r>
            <w:r>
              <w:rPr>
                <w:color w:val="000000"/>
                <w:sz w:val="20"/>
                <w:szCs w:val="20"/>
                <w:bdr w:val="none" w:color="auto" w:sz="0" w:space="0"/>
              </w:rPr>
              <w:t>. OR  </w:t>
            </w:r>
            <w:r>
              <w:rPr>
                <w:b/>
                <w:color w:val="000000"/>
                <w:sz w:val="20"/>
                <w:szCs w:val="20"/>
                <w:bdr w:val="none" w:color="auto" w:sz="0" w:space="0"/>
              </w:rPr>
              <w:t>how strongly associated  E-morphtype with  ME - genotype</w:t>
            </w:r>
            <w:r>
              <w:rPr>
                <w:color w:val="000000"/>
                <w:sz w:val="20"/>
                <w:szCs w:val="20"/>
                <w:bdr w:val="none" w:color="auto" w:sz="0" w:space="0"/>
              </w:rP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In ideal case of stable association between genotype and morphotype these statistics are independent </w:t>
            </w:r>
            <w:r>
              <w:rPr>
                <w:b/>
                <w:color w:val="000000"/>
                <w:sz w:val="20"/>
                <w:szCs w:val="20"/>
                <w:bdr w:val="none" w:color="auto" w:sz="0" w:space="0"/>
              </w:rPr>
              <w:t>on the structure </w:t>
            </w:r>
            <w:r>
              <w:rPr>
                <w:color w:val="000000"/>
                <w:sz w:val="20"/>
                <w:szCs w:val="20"/>
                <w:bdr w:val="none" w:color="auto" w:sz="0" w:space="0"/>
              </w:rPr>
              <w:t>of  the population of interest – про эту формулировку ещё думать надо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0" w:hRule="atLeast"/>
          <w:tblCellSpacing w:w="0" w:type="dxa"/>
        </w:trPr>
        <w:tc>
          <w:tcPr>
            <w:tcW w:w="629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  <w:tc>
          <w:tcPr>
            <w:tcW w:w="143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i/>
                <w:color w:val="000000"/>
                <w:sz w:val="20"/>
                <w:szCs w:val="20"/>
                <w:bdr w:val="none" w:color="auto" w:sz="0" w:space="0"/>
              </w:rPr>
              <w:t>Specificity</w:t>
            </w:r>
          </w:p>
        </w:tc>
        <w:tc>
          <w:tcPr>
            <w:tcW w:w="4599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0"/>
                <w:szCs w:val="20"/>
                <w:bdr w:val="none" w:color="auto" w:sz="0" w:space="0"/>
              </w:rPr>
              <w:t>Frequency of E among ME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Probability of being E for ME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i/>
                <w:color w:val="0070C0"/>
                <w:sz w:val="20"/>
                <w:szCs w:val="20"/>
                <w:bdr w:val="none" w:color="auto" w:sz="0" w:space="0"/>
              </w:rPr>
              <w:t>Conditional probability of correctly identifying the ME by E ???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i/>
                <w:color w:val="0070C0"/>
                <w:sz w:val="20"/>
                <w:szCs w:val="20"/>
                <w:bdr w:val="none" w:color="auto" w:sz="0" w:space="0"/>
              </w:rPr>
              <w:t>Probability to find E among ME (P_E|ME)</w:t>
            </w:r>
          </w:p>
        </w:tc>
        <w:tc>
          <w:tcPr>
            <w:tcW w:w="7586" w:type="dxa"/>
            <w:vMerge w:val="continue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0" w:hRule="atLeast"/>
          <w:tblCellSpacing w:w="0" w:type="dxa"/>
        </w:trPr>
        <w:tc>
          <w:tcPr>
            <w:tcW w:w="629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  <w:tc>
          <w:tcPr>
            <w:tcW w:w="143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i/>
                <w:color w:val="000000"/>
                <w:sz w:val="20"/>
                <w:szCs w:val="20"/>
                <w:bdr w:val="none" w:color="auto" w:sz="0" w:space="0"/>
              </w:rPr>
              <w:t>Positive predictive value (PPV)</w:t>
            </w:r>
          </w:p>
        </w:tc>
        <w:tc>
          <w:tcPr>
            <w:tcW w:w="4599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0"/>
                <w:szCs w:val="20"/>
                <w:bdr w:val="none" w:color="auto" w:sz="0" w:space="0"/>
              </w:rPr>
              <w:t>Frequency of MT among 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Probability of being MT for T, </w:t>
            </w:r>
            <w:r>
              <w:rPr>
                <w:b/>
                <w:color w:val="000000"/>
                <w:sz w:val="20"/>
                <w:szCs w:val="20"/>
                <w:bdr w:val="none" w:color="auto" w:sz="0" w:space="0"/>
              </w:rPr>
              <w:t>а вот это как раз </w:t>
            </w:r>
            <w:r>
              <w:rPr>
                <w:b/>
                <w:i/>
                <w:color w:val="0070C0"/>
                <w:sz w:val="20"/>
                <w:szCs w:val="20"/>
                <w:bdr w:val="none" w:color="auto" w:sz="0" w:space="0"/>
              </w:rPr>
              <w:t>Conditional probability of correctly indentifying the MT by T (P_MT|T)</w:t>
            </w:r>
          </w:p>
        </w:tc>
        <w:tc>
          <w:tcPr>
            <w:tcW w:w="7586" w:type="dxa"/>
            <w:vMerge w:val="restar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These two statistics are influenced by the prior prevalence of MT in population. PPV is elevated with a higher prevalence of MT while the NPV decreases with a higher prevalence.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0"/>
                <w:szCs w:val="20"/>
                <w:bdr w:val="none" w:color="auto" w:sz="0" w:space="0"/>
              </w:rPr>
              <w:t>Это правильно!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PPV and NVP are 1) dependent on the taxonomic structure of a sample, 2) negatively correlated. Roughly speaking, in pure ME population rare mussels with T-morphotypes would be 100% ME, and vice versa.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0" w:hRule="atLeast"/>
          <w:tblCellSpacing w:w="0" w:type="dxa"/>
        </w:trPr>
        <w:tc>
          <w:tcPr>
            <w:tcW w:w="629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  <w:tc>
          <w:tcPr>
            <w:tcW w:w="143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i/>
                <w:color w:val="000000"/>
                <w:sz w:val="20"/>
                <w:szCs w:val="20"/>
                <w:bdr w:val="none" w:color="auto" w:sz="0" w:space="0"/>
              </w:rPr>
              <w:t>Negative predictive value (NPV)</w:t>
            </w:r>
          </w:p>
        </w:tc>
        <w:tc>
          <w:tcPr>
            <w:tcW w:w="4599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0"/>
                <w:szCs w:val="20"/>
                <w:bdr w:val="none" w:color="auto" w:sz="0" w:space="0"/>
              </w:rPr>
              <w:t>Frequency of ME among 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Probability of being ME for 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i/>
                <w:color w:val="0070C0"/>
                <w:sz w:val="20"/>
                <w:szCs w:val="20"/>
                <w:bdr w:val="none" w:color="auto" w:sz="0" w:space="0"/>
              </w:rPr>
              <w:t>Conditional probability of correctly indentifying the ME by E (P_ME|E)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  <w:tc>
          <w:tcPr>
            <w:tcW w:w="7586" w:type="dxa"/>
            <w:vMerge w:val="continue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0" w:hRule="atLeast"/>
          <w:tblCellSpacing w:w="0" w:type="dxa"/>
        </w:trPr>
        <w:tc>
          <w:tcPr>
            <w:tcW w:w="629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  <w:tc>
          <w:tcPr>
            <w:tcW w:w="143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i/>
                <w:color w:val="000000"/>
                <w:sz w:val="20"/>
                <w:szCs w:val="20"/>
                <w:bdr w:val="none" w:color="auto" w:sz="0" w:space="0"/>
              </w:rPr>
              <w:t>Prevalence</w:t>
            </w:r>
          </w:p>
        </w:tc>
        <w:tc>
          <w:tcPr>
            <w:tcW w:w="4599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0"/>
                <w:szCs w:val="20"/>
                <w:bdr w:val="none" w:color="auto" w:sz="0" w:space="0"/>
              </w:rPr>
              <w:t>Frequency of MT among total sample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Probability of being MT for total sample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  <w:tc>
          <w:tcPr>
            <w:tcW w:w="7586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Statistic reflects the taxonomic structure of a sample.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Сюда ещё можно писать что-то про теорему Байеса, если нужно, и ниже формулы давать</w:t>
            </w:r>
            <w:r>
              <w:rPr>
                <w:color w:val="000000"/>
                <w:sz w:val="20"/>
                <w:szCs w:val="20"/>
                <w:bdr w:val="none" w:color="auto" w:sz="0" w:space="0"/>
                <w:lang w:val="ru-RU"/>
              </w:rPr>
              <w:t xml:space="preserve"> </w:t>
            </w:r>
            <w:r>
              <w:rPr>
                <w:b/>
                <w:bCs/>
                <w:color w:val="000000"/>
                <w:sz w:val="20"/>
                <w:szCs w:val="20"/>
                <w:bdr w:val="none" w:color="auto" w:sz="0" w:space="0"/>
                <w:lang w:val="ru-RU"/>
              </w:rPr>
              <w:t xml:space="preserve">Это как раз в предыдущую часть про </w:t>
            </w:r>
            <w:r>
              <w:rPr>
                <w:b/>
                <w:bCs/>
                <w:color w:val="000000"/>
                <w:sz w:val="20"/>
                <w:szCs w:val="20"/>
                <w:bdr w:val="none" w:color="auto" w:sz="0" w:space="0"/>
                <w:lang w:val="en-US"/>
              </w:rPr>
              <w:t>PPV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0" w:hRule="atLeast"/>
          <w:tblCellSpacing w:w="0" w:type="dxa"/>
        </w:trPr>
        <w:tc>
          <w:tcPr>
            <w:tcW w:w="629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  <w:tc>
          <w:tcPr>
            <w:tcW w:w="143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i/>
                <w:color w:val="000000"/>
                <w:sz w:val="20"/>
                <w:szCs w:val="20"/>
                <w:bdr w:val="none" w:color="auto" w:sz="0" w:space="0"/>
              </w:rPr>
              <w:t>Accuracy</w:t>
            </w:r>
          </w:p>
        </w:tc>
        <w:tc>
          <w:tcPr>
            <w:tcW w:w="4599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0"/>
                <w:szCs w:val="20"/>
                <w:bdr w:val="none" w:color="auto" w:sz="0" w:space="0"/>
              </w:rPr>
              <w:t>Frequency of correct test results (MT with T and ME with E)?? among total sample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  <w:tc>
          <w:tcPr>
            <w:tcW w:w="7586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Statistic measures how correct a test (morphotype) identifies and excludes a genotype.</w:t>
            </w:r>
            <w:r>
              <w:rPr>
                <w:color w:val="000000"/>
                <w:sz w:val="20"/>
                <w:szCs w:val="20"/>
                <w:bdr w:val="none" w:color="auto" w:sz="0" w:space="0"/>
                <w:lang w:val="en-US"/>
              </w:rPr>
              <w:t xml:space="preserve">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b/>
                <w:bCs/>
                <w:color w:val="000000"/>
                <w:sz w:val="20"/>
                <w:szCs w:val="20"/>
                <w:bdr w:val="none" w:color="auto" w:sz="0" w:space="0"/>
                <w:lang w:val="ru-RU"/>
              </w:rPr>
            </w:pPr>
            <w:r>
              <w:rPr>
                <w:b/>
                <w:bCs/>
                <w:color w:val="000000"/>
                <w:sz w:val="20"/>
                <w:szCs w:val="20"/>
                <w:bdr w:val="none" w:color="auto" w:sz="0" w:space="0"/>
                <w:lang w:val="ru-RU"/>
              </w:rPr>
              <w:t xml:space="preserve">Вот здесь как раз и надо сказать, что одним из методов оценки </w:t>
            </w:r>
            <w:r>
              <w:rPr>
                <w:b/>
                <w:bCs/>
                <w:color w:val="000000"/>
                <w:sz w:val="20"/>
                <w:szCs w:val="20"/>
                <w:bdr w:val="none" w:color="auto" w:sz="0" w:space="0"/>
                <w:lang w:val="en-US"/>
              </w:rPr>
              <w:t xml:space="preserve">Accuracy </w:t>
            </w:r>
            <w:r>
              <w:rPr>
                <w:b/>
                <w:bCs/>
                <w:color w:val="000000"/>
                <w:sz w:val="20"/>
                <w:szCs w:val="20"/>
                <w:bdr w:val="none" w:color="auto" w:sz="0" w:space="0"/>
                <w:lang w:val="ru-RU"/>
              </w:rPr>
              <w:t xml:space="preserve">и является </w:t>
            </w:r>
            <w:r>
              <w:rPr>
                <w:b/>
                <w:bCs/>
                <w:color w:val="000000"/>
                <w:sz w:val="20"/>
                <w:szCs w:val="20"/>
                <w:bdr w:val="none" w:color="auto" w:sz="0" w:space="0"/>
                <w:lang w:val="en-US"/>
              </w:rPr>
              <w:t>AUC (</w:t>
            </w:r>
            <w:r>
              <w:rPr>
                <w:b/>
                <w:bCs/>
                <w:color w:val="000000"/>
                <w:sz w:val="20"/>
                <w:szCs w:val="20"/>
                <w:bdr w:val="none" w:color="auto" w:sz="0" w:space="0"/>
                <w:lang w:val="ru-RU"/>
              </w:rPr>
              <w:t xml:space="preserve">в иранской статье про это и написано, там дается еще два метода оценки 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Accuracy</w:t>
            </w:r>
            <w:r>
              <w:rPr>
                <w:b/>
                <w:bCs/>
                <w:color w:val="000000"/>
                <w:sz w:val="20"/>
                <w:szCs w:val="20"/>
                <w:bdr w:val="none" w:color="auto" w:sz="0" w:space="0"/>
                <w:lang w:val="ru-RU"/>
              </w:rPr>
              <w:t xml:space="preserve">).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" w:hRule="atLeast"/>
          <w:tblCellSpacing w:w="0" w:type="dxa"/>
        </w:trPr>
        <w:tc>
          <w:tcPr>
            <w:tcW w:w="629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  <w:tc>
          <w:tcPr>
            <w:tcW w:w="143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i/>
                <w:color w:val="000000"/>
                <w:sz w:val="20"/>
                <w:szCs w:val="20"/>
                <w:bdr w:val="none" w:color="auto" w:sz="0" w:space="0"/>
              </w:rPr>
              <w:t>Positive likelihood ratio (LR+)</w:t>
            </w:r>
          </w:p>
        </w:tc>
        <w:tc>
          <w:tcPr>
            <w:tcW w:w="4599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0"/>
                <w:szCs w:val="20"/>
                <w:bdr w:val="none" w:color="auto" w:sz="0" w:space="0"/>
              </w:rPr>
              <w:t>Ratio between the frequency of T among MT and the frequency of T among ME</w:t>
            </w:r>
          </w:p>
        </w:tc>
        <w:tc>
          <w:tcPr>
            <w:tcW w:w="7586" w:type="dxa"/>
            <w:vMerge w:val="restar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The conventional diagnostic test indexes (sensitivity and specificity) can be combined into a single index as likelihood ratio.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color w:val="000000"/>
                <w:sz w:val="20"/>
                <w:szCs w:val="20"/>
                <w:bdr w:val="none" w:color="auto" w:sz="0" w:space="0"/>
              </w:rPr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The </w:t>
            </w:r>
            <w:r>
              <w:rPr>
                <w:i/>
                <w:color w:val="000000"/>
                <w:sz w:val="20"/>
                <w:szCs w:val="20"/>
                <w:bdr w:val="none" w:color="auto" w:sz="0" w:space="0"/>
              </w:rPr>
              <w:t>LR</w:t>
            </w:r>
            <w:r>
              <w:rPr>
                <w:color w:val="000000"/>
                <w:sz w:val="20"/>
                <w:szCs w:val="20"/>
                <w:bdr w:val="none" w:color="auto" w:sz="0" w:space="0"/>
              </w:rPr>
              <w:t> is ranged from 0 to infinity.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b/>
                <w:bCs/>
                <w:color w:val="000000"/>
                <w:sz w:val="20"/>
                <w:szCs w:val="20"/>
                <w:bdr w:val="none" w:color="auto" w:sz="0" w:space="0"/>
                <w:lang w:val="ru-RU"/>
              </w:rPr>
            </w:pPr>
            <w:bookmarkStart w:id="0" w:name="_GoBack"/>
            <w:r>
              <w:rPr>
                <w:b/>
                <w:bCs/>
                <w:color w:val="000000"/>
                <w:sz w:val="20"/>
                <w:szCs w:val="20"/>
                <w:lang w:val="ru-RU"/>
              </w:rPr>
              <w:t xml:space="preserve">Я бы вообще не плодил этой сущности. </w:t>
            </w:r>
            <w:r>
              <w:rPr>
                <w:b/>
                <w:bCs/>
                <w:color w:val="000000"/>
                <w:sz w:val="20"/>
                <w:szCs w:val="20"/>
                <w:bdr w:val="none" w:color="auto" w:sz="0" w:space="0"/>
                <w:lang w:val="ru-RU"/>
              </w:rPr>
              <w:t xml:space="preserve">Это ведь по сути своей Стрелковские бублики. Можно просто вривести два бублика и ничего про это не писать. </w:t>
            </w:r>
          </w:p>
          <w:bookmarkEnd w:id="0"/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The higher value of </w:t>
            </w:r>
            <w:r>
              <w:rPr>
                <w:i/>
                <w:color w:val="000000"/>
                <w:sz w:val="20"/>
                <w:szCs w:val="20"/>
                <w:bdr w:val="none" w:color="auto" w:sz="0" w:space="0"/>
              </w:rPr>
              <w:t>LR+</w:t>
            </w:r>
            <w:r>
              <w:rPr>
                <w:color w:val="000000"/>
                <w:sz w:val="20"/>
                <w:szCs w:val="20"/>
                <w:bdr w:val="none" w:color="auto" w:sz="0" w:space="0"/>
              </w:rPr>
              <w:t> has a greater information value for diagnostic test.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  <w:bdr w:val="none" w:color="auto" w:sz="0" w:space="0"/>
              </w:rPr>
              <w:t>The lower (i.e close to 0) </w:t>
            </w:r>
            <w:r>
              <w:rPr>
                <w:i/>
                <w:color w:val="000000"/>
                <w:sz w:val="20"/>
                <w:szCs w:val="20"/>
                <w:bdr w:val="none" w:color="auto" w:sz="0" w:space="0"/>
              </w:rPr>
              <w:t>LR-</w:t>
            </w:r>
            <w:r>
              <w:rPr>
                <w:color w:val="000000"/>
                <w:sz w:val="20"/>
                <w:szCs w:val="20"/>
                <w:bdr w:val="none" w:color="auto" w:sz="0" w:space="0"/>
              </w:rPr>
              <w:t> has a greater information values of a negative test. The larger value of </w:t>
            </w:r>
            <w:r>
              <w:rPr>
                <w:i/>
                <w:color w:val="000000"/>
                <w:sz w:val="20"/>
                <w:szCs w:val="20"/>
                <w:bdr w:val="none" w:color="auto" w:sz="0" w:space="0"/>
              </w:rPr>
              <w:t>LR-</w:t>
            </w:r>
            <w:r>
              <w:rPr>
                <w:color w:val="000000"/>
                <w:sz w:val="20"/>
                <w:szCs w:val="20"/>
                <w:bdr w:val="none" w:color="auto" w:sz="0" w:space="0"/>
              </w:rPr>
              <w:t> has lower information values.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  <w:tblCellSpacing w:w="0" w:type="dxa"/>
        </w:trPr>
        <w:tc>
          <w:tcPr>
            <w:tcW w:w="629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  <w:tc>
          <w:tcPr>
            <w:tcW w:w="143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i/>
                <w:color w:val="000000"/>
                <w:sz w:val="20"/>
                <w:szCs w:val="20"/>
                <w:bdr w:val="none" w:color="auto" w:sz="0" w:space="0"/>
              </w:rPr>
              <w:t>Negative likelihood ratio (LR-)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  <w:tc>
          <w:tcPr>
            <w:tcW w:w="4599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0"/>
                <w:szCs w:val="20"/>
                <w:bdr w:val="none" w:color="auto" w:sz="0" w:space="0"/>
              </w:rPr>
              <w:t>Ratio between the frequency of E among MT and the frequency of E among ME</w:t>
            </w:r>
          </w:p>
        </w:tc>
        <w:tc>
          <w:tcPr>
            <w:tcW w:w="7586" w:type="dxa"/>
            <w:vMerge w:val="continue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5230B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75F051B"/>
    <w:rsid w:val="3D2E204C"/>
    <w:rsid w:val="4693393B"/>
    <w:rsid w:val="58450B78"/>
    <w:rsid w:val="62081642"/>
    <w:rsid w:val="69087A9B"/>
    <w:rsid w:val="6A912367"/>
    <w:rsid w:val="6DD474D9"/>
    <w:rsid w:val="7F45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360" w:lineRule="auto"/>
      <w:ind w:leftChars="100"/>
      <w:jc w:val="both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paragraph" w:styleId="2">
    <w:name w:val="heading 2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2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2"/>
    </w:pPr>
    <w:rPr>
      <w:rFonts w:asciiTheme="majorAscii" w:hAnsiTheme="majorAscii" w:eastAsiaTheme="majorEastAsia" w:cstheme="majorBidi"/>
      <w:b/>
      <w:bCs/>
      <w:i/>
      <w:color w:val="000000" w:themeColor="text1"/>
      <w:sz w:val="22"/>
      <w:szCs w:val="28"/>
      <w14:textFill>
        <w14:solidFill>
          <w14:schemeClr w14:val="tx1"/>
        </w14:solidFill>
      </w14:textFill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</w:style>
  <w:style w:type="paragraph" w:styleId="5">
    <w:name w:val="caption"/>
    <w:basedOn w:val="1"/>
    <w:next w:val="1"/>
    <w:link w:val="11"/>
    <w:semiHidden/>
    <w:unhideWhenUsed/>
    <w:qFormat/>
    <w:uiPriority w:val="0"/>
    <w:pPr>
      <w:spacing w:after="120"/>
    </w:pPr>
    <w:rPr>
      <w:rFonts w:asciiTheme="minorAscii" w:hAnsiTheme="minorAscii" w:eastAsiaTheme="minorEastAsia" w:cstheme="minorBidi"/>
      <w:sz w:val="20"/>
      <w:szCs w:val="20"/>
      <w:lang w:val="en-US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9">
    <w:name w:val="Текст абзаца"/>
    <w:basedOn w:val="1"/>
    <w:uiPriority w:val="0"/>
    <w:pPr>
      <w:spacing w:line="360" w:lineRule="auto"/>
      <w:jc w:val="both"/>
    </w:pPr>
    <w:rPr>
      <w:rFonts w:ascii="Times New Roman" w:hAnsi="Times New Roman" w:eastAsia="Calibri"/>
      <w:sz w:val="24"/>
    </w:rPr>
  </w:style>
  <w:style w:type="paragraph" w:customStyle="1" w:styleId="10">
    <w:name w:val="абзац"/>
    <w:basedOn w:val="1"/>
    <w:qFormat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4"/>
    </w:rPr>
  </w:style>
  <w:style w:type="character" w:customStyle="1" w:styleId="11">
    <w:name w:val="Название объекта Знак"/>
    <w:basedOn w:val="7"/>
    <w:link w:val="5"/>
    <w:qFormat/>
    <w:uiPriority w:val="0"/>
    <w:rPr>
      <w:rFonts w:asciiTheme="minorAscii" w:hAnsiTheme="minorAscii" w:eastAsiaTheme="minorEastAsia" w:cstheme="minorBidi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2019-06-01T20:16:00Z</dcterms:created>
  <dc:creator>polyd</dc:creator>
  <cp:lastModifiedBy>polyd</cp:lastModifiedBy>
  <dcterms:modified xsi:type="dcterms:W3CDTF">2019-06-01T20:26:25Z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