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Юля! Вот посмотри на результаты. Я брал в качестве критерия для отбора проб в тестинг датасет те, у кого Ptros были наиболее близки к 0.2, 0.4, 0.6, 0.8 квантилям распределения Ptros в соответствующем Subset. Сразу скажу, что в качестве границ для отбора не стоит брать Ptros = 0.5 или около того, та как мы выьиваем серединку и от этого все модели сильно едут.</w:t>
      </w:r>
    </w:p>
    <w:p>
      <w:pPr>
        <w:pStyle w:val="2"/>
      </w:pPr>
      <w:bookmarkStart w:id="0" w:name="regression-models-parameters"/>
      <w:r>
        <w:t>Regression models parameters</w:t>
      </w:r>
      <w:bookmarkEnd w:id="0"/>
    </w:p>
    <w:p>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full models including all terms and their inteactions were constructed. After the full models were constructed they were simplified accordingly to backward selection protocol (Zuur et al., 2009).</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p>
      <w:pPr>
        <w:pStyle w:val="11"/>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t>
        </m:r>
      </m:oMath>
    </w:p>
    <w:p>
      <w:pPr>
        <w:pStyle w:val="11"/>
      </w:pPr>
      <w:r>
        <w:t xml:space="preserve">Model5: </w:t>
      </w:r>
      <m:oMath>
        <m:r>
          <m:t>logit(Ptros)=</m:t>
        </m:r>
        <m:sSub>
          <m:sSubPr/>
          <m:e>
            <m:r>
              <m:t>P</m:t>
            </m:r>
          </m:e>
          <m:sub>
            <m:r>
              <m:t>T</m:t>
            </m:r>
          </m:sub>
        </m:sSub>
        <m:r>
          <m:t>+Subset</m:t>
        </m:r>
      </m:oMath>
    </w:p>
    <w:tbl>
      <w:tblPr>
        <w:tblStyle w:val="26"/>
        <w:tblW w:w="10057" w:type="dxa"/>
        <w:tblInd w:w="0" w:type="dxa"/>
        <w:tblLayout w:type="fixed"/>
        <w:tblCellMar>
          <w:top w:w="0" w:type="dxa"/>
          <w:left w:w="108" w:type="dxa"/>
          <w:bottom w:w="0" w:type="dxa"/>
          <w:right w:w="108" w:type="dxa"/>
        </w:tblCellMar>
      </w:tblPr>
      <w:tblGrid>
        <w:gridCol w:w="4004"/>
        <w:gridCol w:w="1624"/>
        <w:gridCol w:w="1205"/>
        <w:gridCol w:w="1704"/>
        <w:gridCol w:w="1520"/>
      </w:tblGrid>
      <w:tr>
        <w:tblPrEx>
          <w:tblLayout w:type="fixed"/>
          <w:tblCellMar>
            <w:top w:w="0" w:type="dxa"/>
            <w:left w:w="108" w:type="dxa"/>
            <w:bottom w:w="0" w:type="dxa"/>
            <w:right w:w="108" w:type="dxa"/>
          </w:tblCellMar>
        </w:tblPrEx>
        <w:tc>
          <w:tcPr>
            <w:tcW w:w="40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Terms</w:t>
            </w:r>
          </w:p>
        </w:tc>
        <w:tc>
          <w:tcPr>
            <w:tcW w:w="16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Estimate</w:t>
            </w:r>
          </w:p>
        </w:tc>
        <w:tc>
          <w:tcPr>
            <w:tcW w:w="120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SE</w:t>
            </w:r>
          </w:p>
        </w:tc>
        <w:tc>
          <w:tcPr>
            <w:tcW w:w="17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z-statistic</w:t>
            </w:r>
          </w:p>
        </w:tc>
        <w:tc>
          <w:tcPr>
            <w:tcW w:w="152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-16.10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0.30</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15.45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0.643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11.00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0.307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-10.42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5.96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-0.49</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3.1</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7.31</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0.28</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10.70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0.152</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14.47</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-5.63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0.517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-11.63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0.028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0.25</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14.30</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0.35</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-12.46</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-11.23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0.27</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Morph(T):Ptros</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9.0</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16.28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0.327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-2.13</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0.033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-2.6</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-19.19</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21.32</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1.08</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0.278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20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-10.45</w:t>
            </w:r>
          </w:p>
        </w:tc>
        <w:tc>
          <w:tcPr>
            <w:tcW w:w="1520"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bl>
    <w:p>
      <w:pPr>
        <w:pStyle w:val="11"/>
      </w:pPr>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w:t>
      </w:r>
    </w:p>
    <w:p>
      <w:pPr>
        <w:pStyle w:val="3"/>
      </w:pPr>
      <w:bookmarkStart w:id="1" w:name="regression-models-visualisation"/>
      <w:r>
        <w:t>Regression models visualisation</w:t>
      </w:r>
      <w:bookmarkEnd w:id="1"/>
    </w:p>
    <w:p>
      <w:r>
        <w:drawing>
          <wp:inline distT="0" distB="0" distL="114300" distR="114300">
            <wp:extent cx="6324600" cy="6324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Initial data are presented as proportions of positive outcome in particular populations. Size of points is proportional to number of mussels in the particular sample. (A) Model1: the fill intensity is proportional to Ptros</w:t>
      </w:r>
      <w:r>
        <w:rPr>
          <w:lang w:val="ru-RU"/>
        </w:rPr>
        <w:t>.</w:t>
      </w:r>
      <w:r>
        <w:t xml:space="preserve">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strategy-for-finding-of-calibration-samples"/>
      <w:r>
        <w:t>Strategy for finding of calibration samples</w:t>
      </w:r>
      <w:bookmarkEnd w:id="2"/>
    </w:p>
    <w:p>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OX axis represents the differencу in genetic structre for each pair of populations. OY axis represents correspondence between prediction of regression model and theoretical model. Lines represent loess-smoother. (A ) Model 5 describing the dependence of proportion of M.trossulus (Ptros) on proportion of T-morphotype (P_T) ; (B) Model 4 describing the dependence of probability of correct species identification (Pcorrect) on proportion of M.trossulus (Ptros) and morphotype (Morph).</w:t>
      </w:r>
    </w:p>
    <w:p>
      <w:pPr>
        <w:pStyle w:val="11"/>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 На этом рисунке пунктирная линия - это эмпирическая регрессионная модель, построенная по modelling dataset.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w:t>
      </w:r>
    </w:p>
    <w:p>
      <w:pPr>
        <w:pStyle w:val="11"/>
      </w:pPr>
      <w:r>
        <w:t>Можно привести еще вот такую таблицу, в которой будут характеристики калибровочных выборок. Эти данные можно привести в виде врезки на графиках. Надо подумать.</w:t>
      </w:r>
    </w:p>
    <w:tbl>
      <w:tblPr>
        <w:tblStyle w:val="26"/>
        <w:tblW w:w="5906" w:type="dxa"/>
        <w:tblInd w:w="0" w:type="dxa"/>
        <w:tblLayout w:type="fixed"/>
        <w:tblCellMar>
          <w:top w:w="0" w:type="dxa"/>
          <w:left w:w="108" w:type="dxa"/>
          <w:bottom w:w="0" w:type="dxa"/>
          <w:right w:w="108" w:type="dxa"/>
        </w:tblCellMar>
      </w:tblPr>
      <w:tblGrid>
        <w:gridCol w:w="1364"/>
        <w:gridCol w:w="898"/>
        <w:gridCol w:w="671"/>
        <w:gridCol w:w="671"/>
        <w:gridCol w:w="1151"/>
        <w:gridCol w:w="1151"/>
      </w:tblGrid>
      <w:tr>
        <w:tblPrEx>
          <w:tblLayout w:type="fixed"/>
          <w:tblCellMar>
            <w:top w:w="0" w:type="dxa"/>
            <w:left w:w="108" w:type="dxa"/>
            <w:bottom w:w="0" w:type="dxa"/>
            <w:right w:w="108" w:type="dxa"/>
          </w:tblCellMar>
        </w:tblPrEx>
        <w:tc>
          <w:tcPr>
            <w:tcW w:w="136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b/>
                <w:bCs/>
              </w:rPr>
            </w:pPr>
            <w:r>
              <w:rPr>
                <w:b/>
                <w:bCs/>
              </w:rPr>
              <w:t>pop</w:t>
            </w:r>
          </w:p>
        </w:tc>
        <w:tc>
          <w:tcPr>
            <w:tcW w:w="89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rPr>
                <w:b/>
                <w:bCs/>
              </w:rPr>
            </w:pPr>
            <w:r>
              <w:rPr>
                <w:b/>
                <w:bCs/>
              </w:rPr>
              <w:t>Subset</w:t>
            </w:r>
          </w:p>
        </w:tc>
        <w:tc>
          <w:tcPr>
            <w:tcW w:w="67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N_E</w:t>
            </w:r>
          </w:p>
        </w:tc>
        <w:tc>
          <w:tcPr>
            <w:tcW w:w="67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N_T</w:t>
            </w:r>
          </w:p>
        </w:tc>
        <w:tc>
          <w:tcPr>
            <w:tcW w:w="115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P_T_ME</w:t>
            </w:r>
          </w:p>
        </w:tc>
        <w:tc>
          <w:tcPr>
            <w:tcW w:w="115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rPr>
                <w:b/>
                <w:bCs/>
              </w:rPr>
            </w:pPr>
            <w:r>
              <w:rPr>
                <w:b/>
                <w:bCs/>
              </w:rPr>
              <w:t>P_T_MT</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salnij</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umba_06</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0.90</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dz_lit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86</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0.51</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tu_old</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NA</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niva_sl</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0.17</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0.39</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umba_pikut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0.23</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fr</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nm_last</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0.08</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ivan_buy</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0.68</w:t>
            </w:r>
          </w:p>
        </w:tc>
      </w:tr>
      <w:tr>
        <w:tblPrEx>
          <w:tblLayout w:type="fixed"/>
          <w:tblCellMar>
            <w:top w:w="0" w:type="dxa"/>
            <w:left w:w="108" w:type="dxa"/>
            <w:bottom w:w="0" w:type="dxa"/>
            <w:right w:w="108" w:type="dxa"/>
          </w:tblCellMar>
        </w:tblPrEx>
        <w:tc>
          <w:tcPr>
            <w:tcW w:w="136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vol</w:t>
            </w:r>
          </w:p>
        </w:tc>
        <w:tc>
          <w:tcPr>
            <w:tcW w:w="898"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67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42</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0.15</w:t>
            </w:r>
          </w:p>
        </w:tc>
        <w:tc>
          <w:tcPr>
            <w:tcW w:w="115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0.49</w:t>
            </w:r>
          </w:p>
        </w:tc>
      </w:tr>
    </w:tbl>
    <w:p>
      <w:pPr>
        <w:pStyle w:val="11"/>
      </w:pPr>
    </w:p>
    <w:p>
      <w:pPr>
        <w:pStyle w:val="11"/>
      </w:pPr>
      <w:bookmarkStart w:id="3" w:name="_GoBack"/>
      <w:bookmarkEnd w:id="3"/>
      <w:r>
        <w:t>А вот про эту визуализацию, которая приведена ниже, я пока не понял что говорить и не уверен, что ее следует приводить.Здесь видно только, что предсказанная вероятнсоть определения обычно ниже, чем наблюдаемая, что, впрочем, видно и на предыдущей картинке.</w:t>
      </w:r>
    </w:p>
    <w:p>
      <w:pPr>
        <w:pStyle w:val="11"/>
      </w:pPr>
      <w:r>
        <w:drawing>
          <wp:inline distT="0" distB="0" distL="114300" distR="114300">
            <wp:extent cx="6324600" cy="632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11F6744"/>
    <w:rsid w:val="471839FB"/>
    <w:rsid w:val="6BC35FD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qFormat/>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qFormat/>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qFormat/>
    <w:uiPriority w:val="0"/>
  </w:style>
  <w:style w:type="character" w:customStyle="1" w:styleId="48">
    <w:name w:val="grame"/>
    <w:basedOn w:val="18"/>
    <w:qFormat/>
    <w:uiPriority w:val="0"/>
  </w:style>
  <w:style w:type="character" w:customStyle="1" w:styleId="49">
    <w:name w:val="ref-journal"/>
    <w:basedOn w:val="18"/>
    <w:qFormat/>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99</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2019-11-06T17:44:00Z</dcterms:created>
  <dc:creator>polyd</dc:creator>
  <cp:lastModifiedBy>polyd</cp:lastModifiedBy>
  <dcterms:modified xsi:type="dcterms:W3CDTF">2019-11-07T06:44:55Z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