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pPr>
        <w:pStyle w:val="14"/>
      </w:pPr>
    </w:p>
    <w:p>
      <w:pPr>
        <w:pStyle w:val="14"/>
      </w:pPr>
      <w:r>
        <w:rPr>
          <w:rFonts w:hint="default"/>
          <w:lang w:val="en-US"/>
        </w:rPr>
        <w:t xml:space="preserve">Short title: </w:t>
      </w:r>
      <w:r>
        <w:rPr>
          <w:rFonts w:hint="default"/>
          <w:b/>
          <w:bCs w:val="0"/>
          <w:i w:val="0"/>
          <w:iCs/>
          <w:lang w:val="en-US"/>
        </w:rPr>
        <w:t>C</w:t>
      </w:r>
      <w:r>
        <w:t xml:space="preserve">onchological test for distinguishing </w:t>
      </w:r>
      <w:r>
        <w:rPr>
          <w:i/>
        </w:rPr>
        <w:t>Mytilus edulis</w:t>
      </w:r>
      <w:r>
        <w:t xml:space="preserve"> and </w:t>
      </w:r>
      <w:r>
        <w:rPr>
          <w:i/>
        </w:rPr>
        <w:t>M. trossulus</w:t>
      </w:r>
      <w:r>
        <w:t xml:space="preserve"> </w:t>
      </w:r>
    </w:p>
    <w:p>
      <w:pPr>
        <w:pStyle w:val="14"/>
        <w:rPr>
          <w:rFonts w:hint="default"/>
          <w:lang w:val="en-US"/>
        </w:rPr>
      </w:pPr>
    </w:p>
    <w:p>
      <w:r>
        <w:t>Vadim Khaitov</w:t>
      </w:r>
      <w:r>
        <w:rPr>
          <w:vertAlign w:val="superscript"/>
        </w:rPr>
        <w:t>1,2</w:t>
      </w:r>
      <w:r>
        <w:rPr>
          <w:rFonts w:hint="default"/>
          <w:vertAlign w:val="superscript"/>
          <w:lang w:val="en-US"/>
        </w:rPr>
        <w:t xml:space="preserve"> *</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numPr>
          <w:ilvl w:val="0"/>
          <w:numId w:val="1"/>
        </w:numPr>
      </w:pPr>
      <w:r>
        <w:t>Saint-Petersburg State University, Saint-Petersburg,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b w:val="0"/>
          <w:bCs/>
          <w:i w:val="0"/>
          <w:caps w:val="0"/>
          <w:color w:val="26282A"/>
          <w:spacing w:val="0"/>
          <w:sz w:val="24"/>
          <w:szCs w:val="24"/>
          <w:shd w:val="clear" w:fill="FFFFFF"/>
          <w:lang w:val="en-US"/>
        </w:rPr>
      </w:pPr>
      <w:bookmarkStart w:id="0" w:name="abstract"/>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b w:val="0"/>
          <w:bCs/>
          <w:i w:val="0"/>
          <w:caps w:val="0"/>
          <w:color w:val="26282A"/>
          <w:spacing w:val="0"/>
          <w:sz w:val="24"/>
          <w:szCs w:val="24"/>
          <w:shd w:val="clear" w:fill="FFFFFF"/>
          <w:lang w:val="en-US"/>
        </w:rPr>
      </w:pPr>
      <w:r>
        <w:rPr>
          <w:rFonts w:hint="default" w:ascii="Times New Roman" w:hAnsi="Times New Roman" w:eastAsia="Helvetica" w:cs="Times New Roman"/>
          <w:b w:val="0"/>
          <w:bCs/>
          <w:i w:val="0"/>
          <w:caps w:val="0"/>
          <w:color w:val="26282A"/>
          <w:spacing w:val="0"/>
          <w:sz w:val="24"/>
          <w:szCs w:val="24"/>
          <w:shd w:val="clear" w:fill="FFFFFF"/>
          <w:lang w:val="en-US"/>
        </w:rPr>
        <w:t>* Corresponding author</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b w:val="0"/>
          <w:bCs/>
          <w:i w:val="0"/>
          <w:caps w:val="0"/>
          <w:color w:val="26282A"/>
          <w:spacing w:val="0"/>
          <w:sz w:val="24"/>
          <w:szCs w:val="24"/>
          <w:shd w:val="clear" w:fill="FFFFFF"/>
          <w:lang w:val="en-US"/>
        </w:rPr>
      </w:pPr>
      <w:r>
        <w:rPr>
          <w:rFonts w:hint="default" w:ascii="Times New Roman" w:hAnsi="Times New Roman" w:eastAsia="Helvetica" w:cs="Times New Roman"/>
          <w:b w:val="0"/>
          <w:bCs/>
          <w:i w:val="0"/>
          <w:caps w:val="0"/>
          <w:color w:val="26282A"/>
          <w:spacing w:val="0"/>
          <w:sz w:val="24"/>
          <w:szCs w:val="24"/>
          <w:shd w:val="clear" w:fill="FFFFFF"/>
          <w:lang w:val="en-US"/>
        </w:rPr>
        <w:t xml:space="preserve">E-mail: </w:t>
      </w:r>
      <w:r>
        <w:rPr>
          <w:rFonts w:hint="default" w:ascii="Times New Roman" w:hAnsi="Times New Roman" w:eastAsia="Helvetica" w:cs="Times New Roman"/>
          <w:b w:val="0"/>
          <w:bCs/>
          <w:i w:val="0"/>
          <w:caps w:val="0"/>
          <w:color w:val="26282A"/>
          <w:spacing w:val="0"/>
          <w:sz w:val="24"/>
          <w:szCs w:val="24"/>
          <w:shd w:val="clear" w:fill="FFFFFF"/>
          <w:lang w:val="en-US"/>
        </w:rPr>
        <w:fldChar w:fldCharType="begin"/>
      </w:r>
      <w:r>
        <w:rPr>
          <w:rFonts w:hint="default" w:ascii="Times New Roman" w:hAnsi="Times New Roman" w:eastAsia="Helvetica" w:cs="Times New Roman"/>
          <w:b w:val="0"/>
          <w:bCs/>
          <w:i w:val="0"/>
          <w:caps w:val="0"/>
          <w:color w:val="26282A"/>
          <w:spacing w:val="0"/>
          <w:sz w:val="24"/>
          <w:szCs w:val="24"/>
          <w:shd w:val="clear" w:fill="FFFFFF"/>
          <w:lang w:val="en-US"/>
        </w:rPr>
        <w:instrText xml:space="preserve"> HYPERLINK "mailto:polydora@rambler.ru" </w:instrText>
      </w:r>
      <w:r>
        <w:rPr>
          <w:rFonts w:hint="default" w:ascii="Times New Roman" w:hAnsi="Times New Roman" w:eastAsia="Helvetica" w:cs="Times New Roman"/>
          <w:b w:val="0"/>
          <w:bCs/>
          <w:i w:val="0"/>
          <w:caps w:val="0"/>
          <w:color w:val="26282A"/>
          <w:spacing w:val="0"/>
          <w:sz w:val="24"/>
          <w:szCs w:val="24"/>
          <w:shd w:val="clear" w:fill="FFFFFF"/>
          <w:lang w:val="en-US"/>
        </w:rPr>
        <w:fldChar w:fldCharType="separate"/>
      </w:r>
      <w:r>
        <w:rPr>
          <w:rStyle w:val="23"/>
          <w:rFonts w:hint="default" w:ascii="Times New Roman" w:hAnsi="Times New Roman" w:eastAsia="Helvetica" w:cs="Times New Roman"/>
          <w:b w:val="0"/>
          <w:bCs/>
          <w:i w:val="0"/>
          <w:caps w:val="0"/>
          <w:spacing w:val="0"/>
          <w:sz w:val="24"/>
          <w:szCs w:val="24"/>
          <w:shd w:val="clear" w:fill="FFFFFF"/>
          <w:lang w:val="en-US"/>
        </w:rPr>
        <w:t>polydora@rambler.ru</w:t>
      </w:r>
      <w:r>
        <w:rPr>
          <w:rFonts w:hint="default" w:ascii="Times New Roman" w:hAnsi="Times New Roman" w:eastAsia="Helvetica" w:cs="Times New Roman"/>
          <w:b w:val="0"/>
          <w:bCs/>
          <w:i w:val="0"/>
          <w:caps w:val="0"/>
          <w:color w:val="26282A"/>
          <w:spacing w:val="0"/>
          <w:sz w:val="24"/>
          <w:szCs w:val="24"/>
          <w:shd w:val="clear" w:fill="FFFFFF"/>
          <w:lang w:val="en-US"/>
        </w:rPr>
        <w:fldChar w:fldCharType="end"/>
      </w:r>
      <w:r>
        <w:rPr>
          <w:rFonts w:hint="default" w:ascii="Times New Roman" w:hAnsi="Times New Roman" w:eastAsia="Helvetica" w:cs="Times New Roman"/>
          <w:b w:val="0"/>
          <w:bCs/>
          <w:i w:val="0"/>
          <w:caps w:val="0"/>
          <w:color w:val="26282A"/>
          <w:spacing w:val="0"/>
          <w:sz w:val="24"/>
          <w:szCs w:val="24"/>
          <w:shd w:val="clear" w:fill="FFFFFF"/>
          <w:lang w:val="en-US"/>
        </w:rPr>
        <w:t xml:space="preserve"> (VKh)</w:t>
      </w:r>
      <w:bookmarkStart w:id="88" w:name="_GoBack"/>
      <w:bookmarkEnd w:id="88"/>
    </w:p>
    <w:p>
      <w:pPr>
        <w:rPr>
          <w:rFonts w:hint="default" w:ascii="Times New Roman" w:hAnsi="Times New Roman" w:eastAsia="Helvetica" w:cs="Times New Roman"/>
          <w:b w:val="0"/>
          <w:bCs/>
          <w:i w:val="0"/>
          <w:caps w:val="0"/>
          <w:color w:val="26282A"/>
          <w:spacing w:val="0"/>
          <w:sz w:val="24"/>
          <w:szCs w:val="24"/>
          <w:shd w:val="clear" w:fill="FFFFFF"/>
          <w:lang w:val="en-US"/>
        </w:rPr>
      </w:pPr>
      <w:r>
        <w:rPr>
          <w:rFonts w:hint="default" w:ascii="Times New Roman" w:hAnsi="Times New Roman" w:eastAsia="Helvetica" w:cs="Times New Roman"/>
          <w:b w:val="0"/>
          <w:bCs/>
          <w:i w:val="0"/>
          <w:caps w:val="0"/>
          <w:color w:val="26282A"/>
          <w:spacing w:val="0"/>
          <w:sz w:val="24"/>
          <w:szCs w:val="24"/>
          <w:shd w:val="clear" w:fill="FFFFFF"/>
          <w:lang w:val="en-US"/>
        </w:rPr>
        <w:br w:type="page"/>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b w:val="0"/>
          <w:bCs/>
          <w:i w:val="0"/>
          <w:caps w:val="0"/>
          <w:color w:val="26282A"/>
          <w:spacing w:val="0"/>
          <w:sz w:val="24"/>
          <w:szCs w:val="24"/>
          <w:shd w:val="clear" w:fill="FFFFFF"/>
          <w:lang w:val="en-US"/>
        </w:rPr>
      </w:pPr>
      <w:r>
        <w:rPr>
          <w:rFonts w:hint="default" w:ascii="Times New Roman" w:hAnsi="Times New Roman" w:eastAsia="Helvetica" w:cs="Times New Roman"/>
          <w:b w:val="0"/>
          <w:bCs/>
          <w:i w:val="0"/>
          <w:caps w:val="0"/>
          <w:color w:val="26282A"/>
          <w:spacing w:val="0"/>
          <w:sz w:val="24"/>
          <w:szCs w:val="24"/>
          <w:shd w:val="clear" w:fill="FFFFFF"/>
          <w:lang w:val="en-US"/>
        </w:rPr>
        <w:t>Author contribution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Vadim Khaitov</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Conceptualization, Formal Analysis, Investigation, Methodology, Writing – Original Draft Preparation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Saint-Petersburg State University, Saint-Petersburg, Russia, Kandalaksha State Nature Reserve, Kandalaksha, Murmansk Region,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Julia Marchenko</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Conceptualization, Data Curation, Formal Analysis, Investigation, Methodology</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Saint-Petersburg State University, Saint-Petersburg,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Marina Katolikova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Investigation, Visualization, Writing – Review &amp; Editing</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Saint-Petersburg State University, Saint-Petersburg, Russia, Murmansk Marine Biological Institute, Murmansk,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Risto Väinölä</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Data Curation, Investigation, Writing – Review &amp; Editing</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Finnish Museum of Natural History, University of Helsinki, Helsinki, Finland</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Sarah E. Kingston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Investigation, Writing – Review &amp; Editing</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Department of Biology &amp; Schiller Coastal Studies Center, Bowdoin College, Brunswick, Maine, United States, School of Marine Sciences and Darling Marine Center, University of Maine, Maine, United States</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David B. Carlon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Investigation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Department of Biology &amp; Schiller Coastal Studies Center, Bowdoin College, Brunswick, Maine</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Michael Gantsevich</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Investigation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Department of Invertebrate Zoology, Lomonosov Moscow State University, Moscow,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b/>
          <w:i w:val="0"/>
          <w:caps w:val="0"/>
          <w:color w:val="26282A"/>
          <w:spacing w:val="0"/>
          <w:sz w:val="24"/>
          <w:szCs w:val="24"/>
          <w:shd w:val="clear" w:fill="FFFFFF"/>
          <w:lang w:val="en-US"/>
        </w:rPr>
        <w:t>Petr Strelkov</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Roles: Conceptualization, Investigation, Methodology, Writing – Original Draft Preparation</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Affiliation: Saint-Petersburg State University, Saint-Petersburg, Russia, Laboratory of Monitoring and Conservation of Natural Arctic Ecosystems, Murmansk Arctic State University, Murmansk, Russia</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 </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Competing Interests</w:t>
      </w:r>
    </w:p>
    <w:p>
      <w:pPr>
        <w:pStyle w:val="16"/>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caps w:val="0"/>
          <w:color w:val="26282A"/>
          <w:spacing w:val="0"/>
          <w:sz w:val="24"/>
          <w:szCs w:val="24"/>
        </w:rPr>
      </w:pPr>
      <w:r>
        <w:rPr>
          <w:rFonts w:hint="default" w:ascii="Times New Roman" w:hAnsi="Times New Roman" w:eastAsia="Helvetica" w:cs="Times New Roman"/>
          <w:i w:val="0"/>
          <w:caps w:val="0"/>
          <w:color w:val="26282A"/>
          <w:spacing w:val="0"/>
          <w:sz w:val="24"/>
          <w:szCs w:val="24"/>
          <w:shd w:val="clear" w:fill="FFFFFF"/>
          <w:lang w:val="en-US"/>
        </w:rPr>
        <w:t>The authors have declared that no competing interests exist.</w:t>
      </w:r>
    </w:p>
    <w:p>
      <w:r>
        <w:br w:type="page"/>
      </w:r>
    </w:p>
    <w:p>
      <w:pPr>
        <w:pStyle w:val="2"/>
      </w:pPr>
      <w:r>
        <w:t>Abstract</w:t>
      </w:r>
      <w:bookmarkEnd w:id="0"/>
    </w:p>
    <w:p>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r>
        <w:t>Introduction</w:t>
      </w:r>
      <w:bookmarkEnd w:id="1"/>
    </w:p>
    <w:p>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12"/>
      </w:pPr>
      <w:r>
        <w:t xml:space="preserve">Ever since the existence of </w:t>
      </w:r>
      <w:r>
        <w:rPr>
          <w:i/>
        </w:rPr>
        <w:t>M. trossulus</w:t>
      </w:r>
      <w:r>
        <w:t xml:space="preserve"> was recognized by molecular genetic markers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 [11].</w:t>
      </w:r>
    </w:p>
    <w:p>
      <w:pPr>
        <w:pStyle w:val="12"/>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12"/>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12"/>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12"/>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12"/>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12"/>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r>
        <w:t>Materials and Methods</w:t>
      </w:r>
      <w:bookmarkEnd w:id="2"/>
    </w:p>
    <w:p>
      <w:r>
        <w:rPr>
          <w:b/>
        </w:rPr>
        <w:t>Samples.</w:t>
      </w:r>
      <w:r>
        <w:t xml:space="preserve"> Altogether, we considered 77 mussel samples (total sample size N = 4325, individual sample size N=18-173) representing five geographical contact zones between </w:t>
      </w:r>
      <w:r>
        <w:rPr>
          <w:i/>
        </w:rPr>
        <w:t>M. edulis</w:t>
      </w:r>
      <w:r>
        <w:t xml:space="preserve"> and </w:t>
      </w:r>
      <w:r>
        <w:rPr>
          <w:i/>
        </w:rPr>
        <w:t>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 </w:t>
      </w:r>
      <w:r>
        <w:rPr>
          <w:b/>
        </w:rPr>
        <w:t>S1 Table</w:t>
      </w:r>
      <w:r>
        <w:t>.</w:t>
      </w:r>
    </w:p>
    <w:p>
      <w:pPr>
        <w:pStyle w:val="12"/>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 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12"/>
      </w:pPr>
      <w:r>
        <w:rPr>
          <w:b/>
        </w:rPr>
        <w:t>Fig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S2 Table</w:t>
      </w:r>
      <w:r>
        <w:t>.</w:t>
      </w:r>
    </w:p>
    <w:p>
      <w:pPr>
        <w:pStyle w:val="12"/>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 1</w:t>
      </w:r>
      <w:r>
        <w:t xml:space="preserve">, </w:t>
      </w:r>
      <w:r>
        <w:rPr>
          <w:b/>
        </w:rPr>
        <w:t>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12"/>
      </w:pPr>
      <w:r>
        <w:rPr>
          <w:b/>
        </w:rPr>
        <w:t>Genetic characters.</w:t>
      </w:r>
      <w:r>
        <w:t xml:space="preserve"> A part of the material, from the contact zones, was genotyped in previous studies (8 of 12 American samples: [30]; 6 of 8 Baltic samples: [3]; 2 of 5 Norwegian samples: [3]; 1 of 26 the Barents Sea samples: [3]; all the White Sea samples: [16]). The other samples were collected and genotyped specially for this study (see </w:t>
      </w:r>
      <w:r>
        <w:rPr>
          <w:b/>
        </w:rPr>
        <w:t>S1 Table</w:t>
      </w:r>
      <w: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four nearly diagnostic loci Est-D, Gpi, Pgm and Odh, which individually show 70–95% allele frequency differences between </w:t>
      </w:r>
      <w:r>
        <w:rPr>
          <w:i/>
        </w:rPr>
        <w:t>M. edulis</w:t>
      </w:r>
      <w:r>
        <w:t xml:space="preserve"> and </w:t>
      </w:r>
      <w:r>
        <w:rPr>
          <w:i/>
        </w:rPr>
        <w:t>M. trossulus</w:t>
      </w:r>
      <w:r>
        <w:t xml:space="preserv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(data not shown). The mussels were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xml:space="preserve">” and “ </w:t>
      </w:r>
      <w:r>
        <w:rPr>
          <w:i/>
        </w:rPr>
        <w:t>M. edulis</w:t>
      </w:r>
      <w:r>
        <w:t xml:space="preserve">” genotypes although each includes both purebreds and hybrids. Only the results of classification into </w:t>
      </w:r>
      <w:r>
        <w:rPr>
          <w:i/>
        </w:rPr>
        <w:t>M. trossulus</w:t>
      </w:r>
      <w:r>
        <w:t xml:space="preserve"> and </w:t>
      </w:r>
      <w:r>
        <w:rPr>
          <w:i/>
        </w:rPr>
        <w:t>M. edulis</w:t>
      </w:r>
      <w:r>
        <w:t xml:space="preserve"> are considered here. More detailed analyses of the hybrid zones studied have been presented earlier [3,5,16,30,32].</w:t>
      </w:r>
    </w:p>
    <w:p>
      <w:pPr>
        <w:pStyle w:val="12"/>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in the supporting information.</w:t>
      </w:r>
    </w:p>
    <w:p>
      <w:pPr>
        <w:pStyle w:val="12"/>
      </w:pPr>
      <w:r>
        <w:rPr>
          <w:b/>
        </w:rPr>
        <w:t>Predictive values</w:t>
      </w:r>
      <w:r>
        <w:t xml:space="preserve">. For each sample we calculated the frequencies of </w:t>
      </w:r>
      <w:r>
        <w:rPr>
          <w:i/>
        </w:rPr>
        <w:t>M. trossulus</w:t>
      </w:r>
      <w:r>
        <w:t xml:space="preserve">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12"/>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[19]),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12"/>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12"/>
      </w:pPr>
    </w:p>
    <w:p>
      <w:pPr>
        <w:pStyle w:val="12"/>
      </w:pPr>
      <w:r>
        <w:rPr>
          <w:rFonts w:hint="default"/>
          <w:position w:val="-28"/>
          <w:lang w:val="en-US"/>
        </w:rPr>
        <w:object>
          <v:shape id="_x0000_i1025" o:spt="75" type="#_x0000_t75" style="height:33pt;width:26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position w:val="-28"/>
          <w:lang w:val="en-US"/>
        </w:rPr>
        <w:t xml:space="preserve"> </w:t>
      </w:r>
      <w:r>
        <w:t>[Eq 1]</w:t>
      </w:r>
    </w:p>
    <w:p>
      <w:pPr>
        <w:pStyle w:val="12"/>
      </w:pPr>
      <w:r>
        <w:rPr>
          <w:rFonts w:hint="default"/>
          <w:position w:val="-28"/>
          <w:lang w:val="en-US"/>
        </w:rPr>
        <w:object>
          <v:shape id="_x0000_i1026" o:spt="75" type="#_x0000_t75" style="height:33pt;width:30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position w:val="-28"/>
          <w:lang w:val="en-US"/>
        </w:rPr>
        <w:t xml:space="preserve"> </w:t>
      </w:r>
      <w:r>
        <w:t>[Eq 2]</w:t>
      </w:r>
    </w:p>
    <w:p>
      <w:pPr>
        <w:pStyle w:val="12"/>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12"/>
      </w:pPr>
      <w:r>
        <w:rPr>
          <w:position w:val="-28"/>
        </w:rPr>
        <w:object>
          <v:shape id="_x0000_i1027" o:spt="75" type="#_x0000_t75" style="height:33pt;width:15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default"/>
          <w:position w:val="-28"/>
          <w:lang w:val="en-US"/>
        </w:rPr>
        <w:t xml:space="preserve"> </w:t>
      </w:r>
      <w:r>
        <w:t>[Eq 3]</w:t>
      </w:r>
    </w:p>
    <w:p>
      <w:pPr>
        <w:pStyle w:val="12"/>
      </w:pPr>
      <w:r>
        <w:rPr>
          <w:b/>
        </w:rPr>
        <w:t>Statistical analyses</w:t>
      </w:r>
      <w:r>
        <w:t xml:space="preserve">. The following analyses were made using the data from the contact zones. Firstly, we studied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within and between sample sets representing A) the White Sea (sample set </w:t>
      </w:r>
      <w:r>
        <w:rPr>
          <w:i/>
        </w:rPr>
        <w:t>WS</w:t>
      </w:r>
      <w:r>
        <w:t xml:space="preserve">)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Eq.1-3 and the data on the morphotype proportions among species (</w:t>
      </w:r>
      <w:r>
        <w:rPr>
          <w:i/>
        </w:rPr>
        <w:t>P(T|tros)</w:t>
      </w:r>
      <w:r>
        <w:t xml:space="preserve">, </w:t>
      </w:r>
      <w:r>
        <w:rPr>
          <w:i/>
        </w:rPr>
        <w:t>P(T|edu)</w:t>
      </w:r>
      <w:r>
        <w:t>) in a few genotyped samples. We concede that the assumption that sensitivity and specificity do not depend on the prevalence can be violated in the morphotype test, as it often is in clinical tests [36] Therefore we focused on finding out which samples were better suited for prediction on the basis of Eq.1-3: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12"/>
      </w:pPr>
      <w: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12"/>
      </w:pPr>
      <w: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pPr>
      <w:bookmarkStart w:id="3" w:name="Xcca018af4c7c14b2c90d86d005387fbbd2ade9f"/>
      <w:r>
        <w:t>Associations between morphotypes and genotypes around the Kola Peninsula</w:t>
      </w:r>
      <w:bookmarkEnd w:id="3"/>
    </w:p>
    <w:p>
      <w:r>
        <w:t>The following three regression models were fitted for the data</w:t>
      </w:r>
    </w:p>
    <w:p>
      <w:pPr>
        <w:pStyle w:val="12"/>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i/>
        </w:rPr>
        <w:t>Set</w:t>
      </w:r>
      <w:r>
        <w:t xml:space="preserve"> (discrete predictor with three levels) and interaction between them. </w:t>
      </w:r>
    </w:p>
    <w:p>
      <w:pPr>
        <w:pStyle w:val="12"/>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12"/>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12"/>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12"/>
      </w:pPr>
      <w:r>
        <w:rPr>
          <w:b/>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12"/>
      </w:pPr>
      <w:r>
        <w:rPr>
          <w:b/>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w:t>
      </w:r>
      <w:r>
        <w:rPr>
          <w:i/>
        </w:rPr>
        <w:t>Set</w:t>
      </w:r>
      <w:r>
        <w:t xml:space="preserve">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12"/>
      </w:pPr>
      <w:r>
        <w:rPr>
          <w:b/>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12"/>
      </w:pPr>
      <w:r>
        <w:rPr>
          <w:b/>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12"/>
      </w:pPr>
      <w:r>
        <w:rPr>
          <w:b/>
        </w:rPr>
        <w:t>Associations between morphotypes and shell size</w:t>
      </w:r>
      <w:r>
        <w:t>. To check the possible association of morphotypes with size we undertook the following two analyses. Firstly, we constructed a set of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[41] were considered. Secondly, we checked the presence of any patterns in residuals from Model 6 (i.e. the main model designed to predict the probability of correct identification of an individual mussel by its morphotype) as a function of mussel size.</w:t>
      </w:r>
    </w:p>
    <w:p>
      <w:pPr>
        <w:pStyle w:val="12"/>
      </w:pPr>
      <w:r>
        <w:rPr>
          <w:b/>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12"/>
      </w:pPr>
      <w:r>
        <w:t xml:space="preserve">We considered all 630 possible pairwise combinations of samples from the </w:t>
      </w:r>
      <w:r>
        <w:rPr>
          <w:i/>
        </w:rPr>
        <w:t>WSBL</w:t>
      </w:r>
      <w:r>
        <w:t xml:space="preserve"> dataset. Each pair was characterized by an index of taxonomic similarity between the samples:</w:t>
      </w:r>
    </w:p>
    <w:p>
      <w:pPr>
        <w:pStyle w:val="12"/>
      </w:pPr>
      <w:r>
        <w:rPr>
          <w:rFonts w:hint="default"/>
          <w:position w:val="-10"/>
          <w:lang w:val="en-US"/>
        </w:rPr>
        <w:object>
          <v:shape id="_x0000_i1028" o:spt="75" type="#_x0000_t75" style="height:16pt;width:25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t>[Eq. 4],</w:t>
      </w:r>
    </w:p>
    <w:p>
      <w:pPr>
        <w:pStyle w:val="12"/>
      </w:pPr>
      <w:r>
        <w:t xml:space="preserve">where </w:t>
      </w:r>
      <w:r>
        <w:rPr>
          <w:i/>
        </w:rPr>
        <w:t>Ptros1</w:t>
      </w:r>
      <w:r>
        <w:t xml:space="preserve"> and </w:t>
      </w:r>
      <w:r>
        <w:rPr>
          <w:i/>
        </w:rPr>
        <w:t>Ptros2</w:t>
      </w:r>
      <w:r>
        <w:t xml:space="preserve"> – higher and lower estimates of prevalence in samples. The index varies in a range [0; 1] and takes the value Delta=0 when both samples are pure </w:t>
      </w:r>
      <w:r>
        <w:rPr>
          <w:i/>
        </w:rPr>
        <w:t>M. edulis</w:t>
      </w:r>
      <w:r>
        <w:t xml:space="preserve"> (</w:t>
      </w:r>
      <w:r>
        <w:rPr>
          <w:i/>
        </w:rPr>
        <w:t>Ptros1</w:t>
      </w:r>
      <w:r>
        <w:t xml:space="preserve"> = </w:t>
      </w:r>
      <w:r>
        <w:rPr>
          <w:i/>
        </w:rPr>
        <w:t>Ptros2</w:t>
      </w:r>
      <w:r>
        <w:t xml:space="preserve"> = 0) or pure </w:t>
      </w:r>
      <w:r>
        <w:rPr>
          <w:i/>
        </w:rPr>
        <w:t>M. trossulus</w:t>
      </w:r>
      <w:r>
        <w:t xml:space="preserve"> (</w:t>
      </w:r>
      <w:r>
        <w:rPr>
          <w:i/>
        </w:rPr>
        <w:t>Ptros1</w:t>
      </w:r>
      <w:r>
        <w:t xml:space="preserve"> = </w:t>
      </w:r>
      <w:r>
        <w:rPr>
          <w:i/>
        </w:rPr>
        <w:t>Ptros2</w:t>
      </w:r>
      <w:r>
        <w:t xml:space="preserve"> = 1), Delta=0.5 when both samples are equivalent mixtures of two species (</w:t>
      </w:r>
      <w:r>
        <w:rPr>
          <w:i/>
        </w:rPr>
        <w:t>Ptros1</w:t>
      </w:r>
      <w:r>
        <w:t xml:space="preserve"> = </w:t>
      </w:r>
      <w:r>
        <w:rPr>
          <w:i/>
        </w:rPr>
        <w:t>Ptros2</w:t>
      </w:r>
      <w:r>
        <w:t xml:space="preserve"> = 0.5) and Delta=1 when one sample represent pure </w:t>
      </w:r>
      <w:r>
        <w:rPr>
          <w:i/>
        </w:rPr>
        <w:t>M. trossulus</w:t>
      </w:r>
      <w:r>
        <w:t xml:space="preserve"> (</w:t>
      </w:r>
      <w:r>
        <w:rPr>
          <w:i/>
        </w:rPr>
        <w:t>Ptros1</w:t>
      </w:r>
      <w:r>
        <w:t xml:space="preserve"> = 1) and another pure </w:t>
      </w:r>
      <w:r>
        <w:rPr>
          <w:i/>
        </w:rPr>
        <w:t>M. edulis</w:t>
      </w:r>
      <w:r>
        <w:t xml:space="preserve"> (</w:t>
      </w:r>
      <w:r>
        <w:rPr>
          <w:i/>
        </w:rPr>
        <w:t>Ptros2</w:t>
      </w:r>
      <w:r>
        <w:t xml:space="preserve"> = 0).</w:t>
      </w:r>
    </w:p>
    <w:p>
      <w:pPr>
        <w:pStyle w:val="12"/>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Eq.1, 2 were contrasted with the ones predicted by the Model 6, and values of </w:t>
      </w:r>
      <w:r>
        <w:rPr>
          <w:i/>
        </w:rPr>
        <w:t>Ptros</w:t>
      </w:r>
      <w:r>
        <w:t xml:space="preserve"> obtained by Eq. 3 were compared with predictions of Model 4 using correspondence statistics:</w:t>
      </w:r>
    </w:p>
    <w:p>
      <w:pPr>
        <w:pStyle w:val="12"/>
      </w:pPr>
      <w:r>
        <w:rPr>
          <w:position w:val="-6"/>
        </w:rPr>
        <w:object>
          <v:shape id="_x0000_i1029" o:spt="75" type="#_x0000_t75" style="height:16pt;width:94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default"/>
          <w:position w:val="-6"/>
          <w:lang w:val="en-US"/>
        </w:rPr>
        <w:t xml:space="preserve"> </w:t>
      </w:r>
      <w:r>
        <w:t>[Eq.5]</w:t>
      </w:r>
    </w:p>
    <w:p>
      <w:pPr>
        <w:pStyle w:val="12"/>
      </w:pPr>
      <w:r>
        <w:t>where MSS – mean sum of squares of difference between predictions of regression model and predictions of equation. Goodness varies (0; infinity) and approaches zero when predictions of models agrees poorly.</w:t>
      </w:r>
    </w:p>
    <w:p>
      <w:pPr>
        <w:pStyle w:val="12"/>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12"/>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12"/>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23"/>
          <w:i/>
        </w:rPr>
        <w:t>https://polydora.shinyapps.io/Calculator/</w:t>
      </w:r>
      <w:r>
        <w:rPr>
          <w:rStyle w:val="23"/>
          <w:i/>
        </w:rPr>
        <w:fldChar w:fldCharType="end"/>
      </w:r>
      <w:r>
        <w:t>.</w:t>
      </w:r>
    </w:p>
    <w:p>
      <w:pPr>
        <w:pStyle w:val="2"/>
      </w:pPr>
      <w:bookmarkStart w:id="4" w:name="results"/>
      <w:r>
        <w:t>Results</w:t>
      </w:r>
      <w:bookmarkEnd w:id="4"/>
    </w:p>
    <w:p>
      <w:pPr>
        <w:pStyle w:val="3"/>
      </w:pPr>
      <w:bookmarkStart w:id="5" w:name="X77825f8768c805c11ebca3ff0c6f78fb212cdcf"/>
      <w:r>
        <w:t>Geographical variation in the manifestation of mussel morphotypes</w:t>
      </w:r>
      <w:bookmarkEnd w:id="5"/>
    </w:p>
    <w:p>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12"/>
      </w:pPr>
      <w:r>
        <w:rPr>
          <w:b/>
        </w:rPr>
        <w:t>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12"/>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3"/>
      </w:pPr>
      <w:bookmarkStart w:id="6" w:name="Xfe2980f0b70345ecfc29ef1f8df279588f18d42"/>
      <w:r>
        <w:t>Associations between morphotypes and genotypes around the Kola Peninsula</w:t>
      </w:r>
      <w:bookmarkEnd w:id="6"/>
    </w:p>
    <w:p>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(WS), the brackish Barents Sea (BL) and the saline Barents Sea (BH) are visualized in </w:t>
      </w:r>
      <w:r>
        <w:rPr>
          <w:b/>
        </w:rPr>
        <w:t>Fig 2</w:t>
      </w:r>
      <w:r>
        <w:t xml:space="preserve">. The results of the regression analysis are summarized in </w:t>
      </w:r>
      <w:r>
        <w:rPr>
          <w:b/>
        </w:rPr>
        <w:t>S3 Table</w:t>
      </w:r>
      <w:r>
        <w:t>.</w:t>
      </w:r>
    </w:p>
    <w:p>
      <w:pPr>
        <w:pStyle w:val="12"/>
      </w:pPr>
      <w:r>
        <w:rPr>
          <w:b/>
        </w:rPr>
        <w:t>Fig 2</w:t>
      </w:r>
      <w:r>
        <w:t xml:space="preserve">.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xml:space="preserve">). Points – empirical estimates, their size is proportional to sample size (see </w:t>
      </w:r>
      <w:r>
        <w:rPr>
          <w:b/>
        </w:rPr>
        <w:t>S1 table</w:t>
      </w:r>
      <w:r>
        <w:t>).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pStyle w:val="12"/>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12"/>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w:t>
      </w:r>
      <w:r>
        <w:rPr>
          <w:b/>
        </w:rPr>
        <w:t>Fig 2</w:t>
      </w:r>
      <w:r>
        <w:t xml:space="preserve">).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12"/>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WS and BL but only 0.60 - 0.70 in BH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12"/>
      </w:pPr>
      <w:r>
        <w:t>For each of the GLMM models considered (Model 2 and 3), marginal and conditional pseudoR2 were close to each other (</w:t>
      </w:r>
      <w:r>
        <w:rPr>
          <w:b/>
        </w:rPr>
        <w:t>S3 Table</w:t>
      </w:r>
      <w:r>
        <w:t>). This indicates that the role of the random factor (</w:t>
      </w:r>
      <w:r>
        <w:rPr>
          <w:i/>
        </w:rPr>
        <w:t>Sample</w:t>
      </w:r>
      <w:r>
        <w:t>) as regulator of models was weak, i.e. the reproducibility of the results in different populations was satisfactory.</w:t>
      </w:r>
    </w:p>
    <w:p>
      <w:pPr>
        <w:pStyle w:val="12"/>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3"/>
      </w:pPr>
      <w:bookmarkStart w:id="7" w:name="X4284f8839d2c1bf4eef29bd0a41268032c985dc"/>
      <w:r>
        <w:t>Associations between morphotypes and genotypes around the Atlantic</w:t>
      </w:r>
      <w:bookmarkEnd w:id="7"/>
    </w:p>
    <w:p>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Seas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12"/>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Seas. This tendency was significant for all the sets (</w:t>
      </w:r>
      <w:r>
        <w:rPr>
          <w:b/>
        </w:rPr>
        <w:t>Fig 3</w:t>
      </w:r>
      <w:r>
        <w:t xml:space="preserve">; Model 4, </w:t>
      </w:r>
      <w:r>
        <w:rPr>
          <w:b/>
        </w:rPr>
        <w:t>S3 Table</w:t>
      </w:r>
      <w:r>
        <w:t xml:space="preserve">). Otherwise, the patterns of variation were different for different sets. For GOM,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12"/>
      </w:pPr>
      <w:r>
        <w:rPr>
          <w:b/>
        </w:rPr>
        <w:t>Fig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pStyle w:val="12"/>
      </w:pPr>
      <w:r>
        <w:t xml:space="preserve">While </w:t>
      </w:r>
      <w:r>
        <w:rPr>
          <w:i/>
        </w:rPr>
        <w:t>P(T|edu)</w:t>
      </w:r>
      <w:r>
        <w:t xml:space="preserve"> estimates were low everywhere but in </w:t>
      </w:r>
      <w:r>
        <w:rPr>
          <w:i/>
        </w:rPr>
        <w:t>BH</w:t>
      </w:r>
      <w:r>
        <w:t xml:space="preserve">, </w:t>
      </w:r>
      <w:r>
        <w:rPr>
          <w:i/>
        </w:rPr>
        <w:t>P(T|tros)</w:t>
      </w:r>
      <w:r>
        <w:t xml:space="preserve">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12"/>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12"/>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94"/>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left"/>
              <w:rPr>
                <w:rFonts w:ascii="Times New Roman" w:hAnsi="Times New Roman" w:eastAsia="Arial" w:cs="Times New Roman"/>
                <w:sz w:val="24"/>
                <w:szCs w:val="24"/>
              </w:rPr>
            </w:pPr>
          </w:p>
        </w:tc>
        <w:tc>
          <w:tcPr>
            <w:tcW w:w="3275" w:type="dxa"/>
            <w:gridSpan w:val="2"/>
          </w:tcPr>
          <w:p>
            <w:pPr>
              <w:spacing w:after="0" w:line="360" w:lineRule="auto"/>
              <w:jc w:val="center"/>
              <w:rPr>
                <w:rFonts w:ascii="Times New Roman" w:hAnsi="Times New Roman" w:eastAsia="Arial" w:cs="Times New Roman"/>
                <w:i/>
                <w:sz w:val="24"/>
                <w:szCs w:val="24"/>
              </w:rPr>
            </w:pPr>
            <w:r>
              <w:rPr>
                <w:rFonts w:ascii="Times New Roman" w:hAnsi="Times New Roman" w:eastAsia="Arial" w:cs="Times New Roman"/>
                <w:i/>
                <w:sz w:val="24"/>
                <w:szCs w:val="24"/>
              </w:rPr>
              <w:t>P(edu|E)</w:t>
            </w:r>
          </w:p>
        </w:tc>
        <w:tc>
          <w:tcPr>
            <w:tcW w:w="3275" w:type="dxa"/>
            <w:gridSpan w:val="2"/>
          </w:tcPr>
          <w:p>
            <w:pPr>
              <w:spacing w:after="0" w:line="360" w:lineRule="auto"/>
              <w:jc w:val="both"/>
              <w:rPr>
                <w:rFonts w:ascii="Times New Roman" w:hAnsi="Times New Roman" w:eastAsia="Arial" w:cs="Times New Roman"/>
                <w:i/>
                <w:sz w:val="24"/>
                <w:szCs w:val="24"/>
              </w:rPr>
            </w:pPr>
            <w:r>
              <w:rPr>
                <w:rFonts w:ascii="Times New Roman" w:hAnsi="Times New Roman" w:eastAsia="Arial" w:cs="Times New Roman"/>
                <w:i/>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bidi w:val="0"/>
            </w:pPr>
            <w:r>
              <w:t>Set</w:t>
            </w:r>
          </w:p>
        </w:tc>
        <w:tc>
          <w:tcPr>
            <w:tcW w:w="1924" w:type="dxa"/>
          </w:tcPr>
          <w:p>
            <w:pPr>
              <w:bidi w:val="0"/>
            </w:pPr>
            <w:r>
              <w:t>Ptros=0.5</w:t>
            </w:r>
          </w:p>
        </w:tc>
        <w:tc>
          <w:tcPr>
            <w:tcW w:w="1351" w:type="dxa"/>
          </w:tcPr>
          <w:p>
            <w:pPr>
              <w:bidi w:val="0"/>
            </w:pPr>
            <w:r>
              <w:t>In the data</w:t>
            </w:r>
          </w:p>
        </w:tc>
        <w:tc>
          <w:tcPr>
            <w:tcW w:w="1924" w:type="dxa"/>
          </w:tcPr>
          <w:p>
            <w:pPr>
              <w:bidi w:val="0"/>
            </w:pPr>
            <w:r>
              <w:t>Ptros=0.5</w:t>
            </w:r>
          </w:p>
        </w:tc>
        <w:tc>
          <w:tcPr>
            <w:tcW w:w="1351" w:type="dxa"/>
          </w:tcPr>
          <w:p>
            <w:pPr>
              <w:bidi w:val="0"/>
            </w:pPr>
            <w: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WSBL</w:t>
            </w:r>
          </w:p>
        </w:tc>
        <w:tc>
          <w:tcPr>
            <w:tcW w:w="1924" w:type="dxa"/>
          </w:tcPr>
          <w:p>
            <w:pPr>
              <w:bidi w:val="0"/>
            </w:pPr>
            <w:r>
              <w:t>0.77 (0.73-0.81)</w:t>
            </w:r>
          </w:p>
        </w:tc>
        <w:tc>
          <w:tcPr>
            <w:tcW w:w="1351" w:type="dxa"/>
          </w:tcPr>
          <w:p>
            <w:pPr>
              <w:bidi w:val="0"/>
            </w:pPr>
            <w:r>
              <w:t>0.86</w:t>
            </w:r>
          </w:p>
        </w:tc>
        <w:tc>
          <w:tcPr>
            <w:tcW w:w="1924" w:type="dxa"/>
          </w:tcPr>
          <w:p>
            <w:pPr>
              <w:bidi w:val="0"/>
            </w:pPr>
            <w:r>
              <w:t>0.85 (0.82-0.89)</w:t>
            </w:r>
          </w:p>
        </w:tc>
        <w:tc>
          <w:tcPr>
            <w:tcW w:w="1351" w:type="dxa"/>
          </w:tcPr>
          <w:p>
            <w:pPr>
              <w:bidi w:val="0"/>
            </w:pPr>
            <w: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BH</w:t>
            </w:r>
          </w:p>
        </w:tc>
        <w:tc>
          <w:tcPr>
            <w:tcW w:w="1924" w:type="dxa"/>
          </w:tcPr>
          <w:p>
            <w:pPr>
              <w:bidi w:val="0"/>
            </w:pPr>
            <w:r>
              <w:t>0.70 (0.61-0.78)</w:t>
            </w:r>
          </w:p>
        </w:tc>
        <w:tc>
          <w:tcPr>
            <w:tcW w:w="1351" w:type="dxa"/>
          </w:tcPr>
          <w:p>
            <w:pPr>
              <w:bidi w:val="0"/>
            </w:pPr>
            <w:r>
              <w:t>0.84</w:t>
            </w:r>
          </w:p>
        </w:tc>
        <w:tc>
          <w:tcPr>
            <w:tcW w:w="1924" w:type="dxa"/>
          </w:tcPr>
          <w:p>
            <w:pPr>
              <w:bidi w:val="0"/>
            </w:pPr>
            <w:r>
              <w:t>0.57 (0.51-0.63)</w:t>
            </w:r>
          </w:p>
        </w:tc>
        <w:tc>
          <w:tcPr>
            <w:tcW w:w="1351" w:type="dxa"/>
          </w:tcPr>
          <w:p>
            <w:pPr>
              <w:bidi w:val="0"/>
            </w:pPr>
            <w: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GOM</w:t>
            </w:r>
          </w:p>
        </w:tc>
        <w:tc>
          <w:tcPr>
            <w:tcW w:w="1924" w:type="dxa"/>
          </w:tcPr>
          <w:p>
            <w:pPr>
              <w:bidi w:val="0"/>
            </w:pPr>
            <w:r>
              <w:t>0.66 (0.54-0.77)</w:t>
            </w:r>
          </w:p>
        </w:tc>
        <w:tc>
          <w:tcPr>
            <w:tcW w:w="1351" w:type="dxa"/>
          </w:tcPr>
          <w:p>
            <w:pPr>
              <w:bidi w:val="0"/>
            </w:pPr>
            <w:r>
              <w:t>0.86</w:t>
            </w:r>
          </w:p>
        </w:tc>
        <w:tc>
          <w:tcPr>
            <w:tcW w:w="1924" w:type="dxa"/>
          </w:tcPr>
          <w:p>
            <w:pPr>
              <w:bidi w:val="0"/>
            </w:pPr>
            <w:r>
              <w:t>0.86 (0.68-0.95)</w:t>
            </w:r>
          </w:p>
        </w:tc>
        <w:tc>
          <w:tcPr>
            <w:tcW w:w="1351" w:type="dxa"/>
          </w:tcPr>
          <w:p>
            <w:pPr>
              <w:bidi w:val="0"/>
            </w:pPr>
            <w: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BALT</w:t>
            </w:r>
          </w:p>
        </w:tc>
        <w:tc>
          <w:tcPr>
            <w:tcW w:w="1924" w:type="dxa"/>
          </w:tcPr>
          <w:p>
            <w:pPr>
              <w:bidi w:val="0"/>
            </w:pPr>
            <w:r>
              <w:t>0.51 (0.44-0.58)</w:t>
            </w:r>
          </w:p>
        </w:tc>
        <w:tc>
          <w:tcPr>
            <w:tcW w:w="1351" w:type="dxa"/>
          </w:tcPr>
          <w:p>
            <w:pPr>
              <w:bidi w:val="0"/>
            </w:pPr>
            <w:r>
              <w:t>0.46</w:t>
            </w:r>
          </w:p>
        </w:tc>
        <w:tc>
          <w:tcPr>
            <w:tcW w:w="1924" w:type="dxa"/>
          </w:tcPr>
          <w:p>
            <w:pPr>
              <w:bidi w:val="0"/>
            </w:pPr>
            <w:r>
              <w:t>0.82 (0.58-0.94)</w:t>
            </w:r>
          </w:p>
        </w:tc>
        <w:tc>
          <w:tcPr>
            <w:tcW w:w="1351" w:type="dxa"/>
          </w:tcPr>
          <w:p>
            <w:pPr>
              <w:bidi w:val="0"/>
            </w:pPr>
            <w: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NORW</w:t>
            </w:r>
          </w:p>
        </w:tc>
        <w:tc>
          <w:tcPr>
            <w:tcW w:w="1924" w:type="dxa"/>
          </w:tcPr>
          <w:p>
            <w:pPr>
              <w:bidi w:val="0"/>
            </w:pPr>
            <w:r>
              <w:t>0.64 (0.53-0.74)</w:t>
            </w:r>
          </w:p>
        </w:tc>
        <w:tc>
          <w:tcPr>
            <w:tcW w:w="1351" w:type="dxa"/>
          </w:tcPr>
          <w:p>
            <w:pPr>
              <w:bidi w:val="0"/>
            </w:pPr>
            <w:r>
              <w:t>0.51</w:t>
            </w:r>
          </w:p>
        </w:tc>
        <w:tc>
          <w:tcPr>
            <w:tcW w:w="1924" w:type="dxa"/>
          </w:tcPr>
          <w:p>
            <w:pPr>
              <w:bidi w:val="0"/>
            </w:pPr>
            <w:r>
              <w:t>0.86 (0.68-0.95)</w:t>
            </w:r>
          </w:p>
        </w:tc>
        <w:tc>
          <w:tcPr>
            <w:tcW w:w="1351" w:type="dxa"/>
          </w:tcPr>
          <w:p>
            <w:pPr>
              <w:bidi w:val="0"/>
            </w:pPr>
            <w: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bidi w:val="0"/>
            </w:pPr>
            <w:r>
              <w:t>SCOT</w:t>
            </w:r>
          </w:p>
        </w:tc>
        <w:tc>
          <w:tcPr>
            <w:tcW w:w="1924" w:type="dxa"/>
          </w:tcPr>
          <w:p>
            <w:pPr>
              <w:bidi w:val="0"/>
            </w:pPr>
            <w:r>
              <w:t>-</w:t>
            </w:r>
          </w:p>
        </w:tc>
        <w:tc>
          <w:tcPr>
            <w:tcW w:w="1351" w:type="dxa"/>
          </w:tcPr>
          <w:p>
            <w:pPr>
              <w:bidi w:val="0"/>
            </w:pPr>
            <w:r>
              <w:t>0.90</w:t>
            </w:r>
          </w:p>
        </w:tc>
        <w:tc>
          <w:tcPr>
            <w:tcW w:w="1924" w:type="dxa"/>
          </w:tcPr>
          <w:p>
            <w:pPr>
              <w:bidi w:val="0"/>
            </w:pPr>
            <w:r>
              <w:t>-</w:t>
            </w:r>
          </w:p>
        </w:tc>
        <w:tc>
          <w:tcPr>
            <w:tcW w:w="1351" w:type="dxa"/>
          </w:tcPr>
          <w:p>
            <w:pPr>
              <w:bidi w:val="0"/>
            </w:pPr>
            <w:r>
              <w:t>0.96</w:t>
            </w:r>
          </w:p>
        </w:tc>
      </w:tr>
    </w:tbl>
    <w:p>
      <w:pPr>
        <w:pStyle w:val="12"/>
      </w:pPr>
    </w:p>
    <w:p>
      <w:pPr>
        <w:pStyle w:val="12"/>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12"/>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12"/>
      </w:pPr>
      <w:r>
        <w:rPr>
          <w:b/>
        </w:rPr>
        <w:t>Table 2</w:t>
      </w:r>
      <w:r>
        <w:t xml:space="preserve">. Formulas used for taxonomic and individual assignment using morphotype tests in different sample sets accordingly to the regression model coefficients represented in </w:t>
      </w:r>
      <w:r>
        <w:rPr>
          <w:b/>
        </w:rPr>
        <w:t>S3 Table</w:t>
      </w:r>
      <w:r>
        <w:t>.</w:t>
      </w:r>
    </w:p>
    <w:tbl>
      <w:tblPr>
        <w:tblStyle w:val="27"/>
        <w:tblW w:w="5682" w:type="pct"/>
        <w:tblInd w:w="0" w:type="dxa"/>
        <w:tblLayout w:type="autofit"/>
        <w:tblCellMar>
          <w:top w:w="0" w:type="dxa"/>
          <w:left w:w="108" w:type="dxa"/>
          <w:bottom w:w="0" w:type="dxa"/>
          <w:right w:w="108" w:type="dxa"/>
        </w:tblCellMar>
      </w:tblPr>
      <w:tblGrid>
        <w:gridCol w:w="1211"/>
        <w:gridCol w:w="2995"/>
        <w:gridCol w:w="3430"/>
        <w:gridCol w:w="3944"/>
      </w:tblGrid>
      <w:tr>
        <w:tblPrEx>
          <w:tblCellMar>
            <w:top w:w="0" w:type="dxa"/>
            <w:left w:w="108" w:type="dxa"/>
            <w:bottom w:w="0" w:type="dxa"/>
            <w:right w:w="108" w:type="dxa"/>
          </w:tblCellMar>
        </w:tblPrEx>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Region</w:t>
            </w:r>
          </w:p>
        </w:tc>
        <w:tc>
          <w:tcPr>
            <w:tcW w:w="0" w:type="auto"/>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4</w:t>
            </w:r>
          </w:p>
        </w:tc>
        <w:tc>
          <w:tcPr>
            <w:tcW w:w="1481"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E-morphotype</w:t>
            </w:r>
          </w:p>
        </w:tc>
        <w:tc>
          <w:tcPr>
            <w:tcW w:w="1703" w:type="pct"/>
            <w:tcBorders>
              <w:bottom w:val="single" w:color="auto" w:sz="0" w:space="0"/>
            </w:tcBorders>
            <w:vAlign w:val="bottom"/>
          </w:tcPr>
          <w:p>
            <w:pPr>
              <w:rPr>
                <w:rFonts w:ascii="Times New Roman" w:hAnsi="Times New Roman" w:cs="Times New Roman"/>
                <w:b/>
                <w:bCs/>
              </w:rPr>
            </w:pPr>
            <w:r>
              <w:rPr>
                <w:rFonts w:ascii="Times New Roman" w:hAnsi="Times New Roman" w:cs="Times New Roman"/>
                <w:b/>
                <w:bCs/>
              </w:rPr>
              <w:t>Model 6 T-morphotype</w: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WSBL</w:t>
            </w:r>
          </w:p>
        </w:tc>
        <w:tc>
          <w:tcPr>
            <w:tcW w:w="0" w:type="auto"/>
          </w:tcPr>
          <w:p>
            <w:pPr>
              <w:rPr>
                <w:rFonts w:hint="default" w:ascii="Cambria Math" w:hAnsi="Cambria Math" w:cs="Times New Roman"/>
                <w:i w:val="0"/>
                <w:sz w:val="20"/>
                <w:szCs w:val="20"/>
                <w:lang w:val="en-US"/>
              </w:rPr>
            </w:pPr>
            <w:r>
              <w:rPr>
                <w:rFonts w:hint="default" w:ascii="Cambria Math" w:hAnsi="Cambria Math" w:cs="Times New Roman"/>
                <w:i w:val="0"/>
                <w:position w:val="-24"/>
                <w:sz w:val="20"/>
                <w:szCs w:val="20"/>
                <w:lang w:val="en-US"/>
              </w:rPr>
              <w:object>
                <v:shape id="_x0000_i1030" o:spt="75" type="#_x0000_t75" style="height:33pt;width:10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1"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2" o:spt="75" type="#_x0000_t75" style="height:33pt;width:12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BH</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3" o:spt="75" type="#_x0000_t75" style="height:33pt;width:10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4" o:spt="75" type="#_x0000_t75" style="height:33pt;width:126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5" o:spt="75" type="#_x0000_t75" style="height:33pt;width:131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GOM</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6" o:spt="75" type="#_x0000_t75" style="height:33pt;width:10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7" o:spt="75" type="#_x0000_t75" style="height:33pt;width:126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8" o:spt="75" type="#_x0000_t75" style="height:33pt;width:131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r>
      <w:tr>
        <w:tc>
          <w:tcPr>
            <w:tcW w:w="0" w:type="auto"/>
          </w:tcPr>
          <w:p>
            <w:pPr>
              <w:rPr>
                <w:rFonts w:ascii="Times New Roman" w:hAnsi="Times New Roman" w:cs="Times New Roman"/>
                <w:sz w:val="20"/>
                <w:szCs w:val="20"/>
              </w:rPr>
            </w:pPr>
            <w:r>
              <w:rPr>
                <w:rFonts w:ascii="Times New Roman" w:hAnsi="Times New Roman" w:cs="Times New Roman"/>
                <w:sz w:val="20"/>
                <w:szCs w:val="20"/>
              </w:rPr>
              <w:t>BALT</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39" o:spt="75" type="#_x0000_t75" style="height:33pt;width:10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0" o:spt="75" type="#_x0000_t75" style="height:33pt;width:126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1" o:spt="75" type="#_x0000_t75" style="height:33pt;width:131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tc>
      </w:tr>
      <w:tr>
        <w:tblPrEx>
          <w:tblCellMar>
            <w:top w:w="0" w:type="dxa"/>
            <w:left w:w="108" w:type="dxa"/>
            <w:bottom w:w="0" w:type="dxa"/>
            <w:right w:w="108" w:type="dxa"/>
          </w:tblCellMar>
        </w:tblPrEx>
        <w:tc>
          <w:tcPr>
            <w:tcW w:w="0" w:type="auto"/>
          </w:tcPr>
          <w:p>
            <w:pPr>
              <w:rPr>
                <w:rFonts w:ascii="Times New Roman" w:hAnsi="Times New Roman" w:cs="Times New Roman"/>
                <w:sz w:val="20"/>
                <w:szCs w:val="20"/>
              </w:rPr>
            </w:pPr>
            <w:r>
              <w:rPr>
                <w:rFonts w:ascii="Times New Roman" w:hAnsi="Times New Roman" w:cs="Times New Roman"/>
                <w:sz w:val="20"/>
                <w:szCs w:val="20"/>
              </w:rPr>
              <w:t>NORW</w:t>
            </w:r>
          </w:p>
        </w:tc>
        <w:tc>
          <w:tcPr>
            <w:tcW w:w="0" w:type="auto"/>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2" o:spt="75" type="#_x0000_t75" style="height:33pt;width:10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tc>
        <w:tc>
          <w:tcPr>
            <w:tcW w:w="1481"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3" o:spt="75" type="#_x0000_t75" style="height:33pt;width:126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tc>
        <w:tc>
          <w:tcPr>
            <w:tcW w:w="1703" w:type="pct"/>
          </w:tcPr>
          <w:p>
            <w:pPr>
              <w:rPr>
                <w:rFonts w:ascii="Cambria Math" w:hAnsi="Cambria Math" w:cs="Times New Roman"/>
                <w:i w:val="0"/>
                <w:sz w:val="20"/>
                <w:szCs w:val="20"/>
              </w:rPr>
            </w:pPr>
            <w:r>
              <w:rPr>
                <w:rFonts w:hint="default" w:ascii="Cambria Math" w:hAnsi="Cambria Math" w:cs="Times New Roman"/>
                <w:i w:val="0"/>
                <w:position w:val="-24"/>
                <w:sz w:val="20"/>
                <w:szCs w:val="20"/>
                <w:lang w:val="en-US"/>
              </w:rPr>
              <w:object>
                <v:shape id="_x0000_i1044" o:spt="75" type="#_x0000_t75" style="height:33pt;width:130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tc>
      </w:tr>
    </w:tbl>
    <w:p>
      <w:pPr>
        <w:pStyle w:val="12"/>
      </w:pPr>
    </w:p>
    <w:p>
      <w:pPr>
        <w:pStyle w:val="12"/>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outlier samples (see above). If we discard these samples, </w:t>
      </w:r>
      <w:r>
        <w:rPr>
          <w:i/>
        </w:rPr>
        <w:t>P(T|tros)</w:t>
      </w:r>
      <w:r>
        <w:t xml:space="preserve"> will make up 0.54 in Norway and 0.71 in the Gulf of Maine.</w:t>
      </w:r>
    </w:p>
    <w:p>
      <w:pPr>
        <w:pStyle w:val="12"/>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Europe, in the southwestern Barents Sea, </w:t>
      </w:r>
      <w:r>
        <w:rPr>
          <w:i/>
        </w:rPr>
        <w:t>P(T|edu)</w:t>
      </w:r>
      <w:r>
        <w:t xml:space="preserve"> varied considerably between the samples, in particular between the samples from brackish (range 0-3%) and saline (0.35-0.70%) localities (see </w:t>
      </w:r>
      <w:r>
        <w:rPr>
          <w:b/>
        </w:rPr>
        <w:t>S2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8" w:name="Xed4f215100d896b94e37444317e6431d8bb291d"/>
      <w:r>
        <w:t>Associations between morphotypes and shell size</w:t>
      </w:r>
      <w:bookmarkEnd w:id="8"/>
    </w:p>
    <w:p>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9" w:name="X1b04b8dd6e2fd943b3d74a098ef62e9e0a4ee46"/>
      <w:r>
        <w:t>Prediction of taxonomic structure of populations and predictive values of the morphotype test based on probability calculators</w:t>
      </w:r>
      <w:bookmarkEnd w:id="9"/>
    </w:p>
    <w:p>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12"/>
      </w:pPr>
      <w:r>
        <w:rPr>
          <w:b/>
        </w:rPr>
        <w:t>Fig 4</w:t>
      </w:r>
      <w:r>
        <w:t xml:space="preserve"> illustrates the goodness of correspondence of the two predictions depending on the genetic constitution of the paired samples as expressed by the Delta index. 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12"/>
      </w:pPr>
      <w:r>
        <w:rPr>
          <w:b/>
        </w:rPr>
        <w:t>Fig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12"/>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12"/>
      </w:pPr>
      <w:r>
        <w:t xml:space="preserve">Visual inspection of </w:t>
      </w:r>
      <w:r>
        <w:rPr>
          <w:b/>
        </w:rPr>
        <w:t>Fig 3a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WSBS</w:t>
      </w:r>
      <w:r>
        <w:t xml:space="preserve">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12"/>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t>
      </w:r>
      <w:r>
        <w:rPr>
          <w:i/>
        </w:rPr>
        <w:t>WSBL</w:t>
      </w:r>
      <w:r>
        <w:t xml:space="preserve">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12"/>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S2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12"/>
      </w:pPr>
      <w:r>
        <w:rPr>
          <w:b/>
        </w:rPr>
        <w:t>S2 Fig</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pStyle w:val="2"/>
      </w:pPr>
      <w:bookmarkStart w:id="10" w:name="discussion"/>
      <w:r>
        <w:t>Discussion</w:t>
      </w:r>
      <w:bookmarkEnd w:id="10"/>
    </w:p>
    <w:p>
      <w:r>
        <w:t xml:space="preserve">The knowledge about the taxonomic structure of populations and a rough classification of individuals into “species” is often more valuable to the blue mussel researchers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[42,43]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12"/>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12"/>
      </w:pPr>
      <w:r>
        <w:t>Though the hypotheses that different mussel species may differ by the extent of the nacreous layer development under the ligament nympha was already suggested by Zolotarev, Shurova [44] and Vervoenen et al. [45], the morphotypes were actually applied to species identification by Khaitov et al. [22] (see below). Here we show that the morphotype test is a promising tool. Once it has been evaluated, i.e. associations between morphotypes and species-specific genotypes have been worked out at the individual and the population levels, it will hopefully deserve more attention from the blue mussel researchers.</w:t>
      </w:r>
    </w:p>
    <w:p>
      <w:pPr>
        <w:pStyle w:val="12"/>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S1 Fig E</w:t>
      </w:r>
      <w:r>
        <w:t>) shows that the interspecies differences in the Barents Sea are less striking than in Scotland.</w:t>
      </w:r>
    </w:p>
    <w:p>
      <w:pPr>
        <w:pStyle w:val="12"/>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1" w:name="Xb6a33982db655c274922abecf609bef70901099"/>
      <w:r>
        <w:t>Variation of morphotype frequencies among conspecific populations</w:t>
      </w:r>
      <w:bookmarkEnd w:id="11"/>
    </w:p>
    <w:p>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[46] identified morphotypes in small samples of genotyped mussels (from [7]) and found elevated frequencies of the E-morphotype in </w:t>
      </w:r>
      <w:r>
        <w:rPr>
          <w:i/>
        </w:rPr>
        <w:t>M. trossulus</w:t>
      </w:r>
      <w:r>
        <w:t xml:space="preserve"> from Oregon (northeastern Pacific). Those data should be treated with caution, however, because he used another classification of the morphotypes and identified them macroscopically, and also because Oregon is close to a contact zone between </w:t>
      </w:r>
      <w:r>
        <w:rPr>
          <w:i/>
        </w:rPr>
        <w:t>M. trossulus</w:t>
      </w:r>
      <w:r>
        <w:t xml:space="preserve"> and </w:t>
      </w:r>
      <w:r>
        <w:rPr>
          <w:i/>
        </w:rPr>
        <w:t>M. galloprovincialis</w:t>
      </w:r>
      <w:r>
        <w:t xml:space="preserve"> [7]; the latter species is characterized by the E-morphotype [44,46].</w:t>
      </w:r>
    </w:p>
    <w:p>
      <w:pPr>
        <w:pStyle w:val="12"/>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12"/>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2" w:name="Xed627aeba94ec0b4072e4fafbe93f47823b6aa4"/>
      <w:r>
        <w:t xml:space="preserve">Unusual features of </w:t>
      </w:r>
      <w:r>
        <w:rPr>
          <w:i/>
        </w:rPr>
        <w:t>M. trossulus</w:t>
      </w:r>
      <w:r>
        <w:t xml:space="preserve"> from Norway and the Baltic Sea</w:t>
      </w:r>
      <w:bookmarkEnd w:id="12"/>
    </w:p>
    <w:p>
      <w:r>
        <w:rPr>
          <w:i/>
        </w:rPr>
        <w:t>M. trossulus</w:t>
      </w:r>
      <w:r>
        <w:t xml:space="preserve"> 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 </w:t>
      </w:r>
      <w:r>
        <w:rPr>
          <w:i/>
        </w:rPr>
        <w:t>M. trossulus</w:t>
      </w:r>
      <w:r>
        <w:t xml:space="preserve"> hybridizes more freely with </w:t>
      </w:r>
      <w:r>
        <w:rPr>
          <w:i/>
        </w:rPr>
        <w:t>M. edulis</w:t>
      </w:r>
      <w:r>
        <w:t xml:space="preserve"> and is stronger introgressed by </w:t>
      </w:r>
      <w:r>
        <w:rPr>
          <w:i/>
        </w:rPr>
        <w:t>M. edulis</w:t>
      </w:r>
      <w:r>
        <w:t xml:space="preserve"> genes than any other Atlantic population [3,47].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hybridization is apparently more extensive there than in most other contact zones though not as extensive as in the Baltic [3,5]. Besides, it is evident that the local Norwegian </w:t>
      </w:r>
      <w:r>
        <w:rPr>
          <w:i/>
        </w:rPr>
        <w:t>M. trossulus</w:t>
      </w:r>
      <w:r>
        <w:t xml:space="preserve"> populations can be strongly introgressed by </w:t>
      </w:r>
      <w:r>
        <w:rPr>
          <w:i/>
        </w:rPr>
        <w:t>M. edulis</w:t>
      </w:r>
      <w:r>
        <w:t xml:space="preserve"> genes [48].</w:t>
      </w:r>
    </w:p>
    <w:p>
      <w:pPr>
        <w:pStyle w:val="12"/>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3" w:name="salinity-related-variation-in-m.-edulis"/>
      <w:r>
        <w:t xml:space="preserve">Salinity-related variation in </w:t>
      </w:r>
      <w:r>
        <w:rPr>
          <w:i/>
        </w:rPr>
        <w:t>M. edulis</w:t>
      </w:r>
      <w:bookmarkEnd w:id="13"/>
    </w:p>
    <w:p>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23"/>
          <w:i/>
        </w:rPr>
        <w:t>http://esimo.oceanography.ru/</w:t>
      </w:r>
      <w:r>
        <w:rPr>
          <w:rStyle w:val="23"/>
          <w:i/>
        </w:rPr>
        <w:fldChar w:fldCharType="end"/>
      </w:r>
      <w:r>
        <w:t>).</w:t>
      </w:r>
    </w:p>
    <w:p>
      <w:pPr>
        <w:pStyle w:val="12"/>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 </w:t>
      </w:r>
      <w:r>
        <w:rPr>
          <w:i/>
        </w:rPr>
        <w:t>M. trossulus</w:t>
      </w:r>
      <w:r>
        <w:t xml:space="preserve">, which is usually marked by the T-morphotype, generally has a thinner nacreous layer and a more fragile shell than </w:t>
      </w:r>
      <w:r>
        <w:rPr>
          <w:i/>
        </w:rPr>
        <w:t>M. edulis</w:t>
      </w:r>
      <w:r>
        <w:t xml:space="preserve"> (cf. [19], see above). </w:t>
      </w:r>
      <w:r>
        <w:rPr>
          <w:i/>
        </w:rPr>
        <w:t>M. edulis</w:t>
      </w:r>
      <w:r>
        <w:t xml:space="preserve"> of the T-morphotype might have an underdeveloped nacreous layer and a thinner shell than the conspecifics of the E-morphotype.</w:t>
      </w:r>
    </w:p>
    <w:p>
      <w:pPr>
        <w:pStyle w:val="12"/>
      </w:pPr>
      <w:r>
        <w:t xml:space="preserve">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w:t>
      </w:r>
      <w:r>
        <w:rPr>
          <w:i/>
        </w:rPr>
        <w:t>Mytilus</w:t>
      </w:r>
      <w:r>
        <w:t xml:space="preserve">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12"/>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([55], see [22] for more discussion).</w:t>
      </w:r>
    </w:p>
    <w:p>
      <w:pPr>
        <w:pStyle w:val="12"/>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4" w:name="variation-with-the-taxonomic-structure"/>
      <w:r>
        <w:t>Variation with the taxonomic structure</w:t>
      </w:r>
      <w:bookmarkEnd w:id="14"/>
    </w:p>
    <w:p>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hybrids. From a detailed analysis of the White Sea data [16] we know that the frequencies of hybrids are approximately the same in all the samples (18% on the average), hybrids are intermediate in morphotype frequencies between purebred </w:t>
      </w:r>
      <w:r>
        <w:rPr>
          <w:i/>
        </w:rPr>
        <w:t>M. edulis</w:t>
      </w:r>
      <w:r>
        <w:t xml:space="preserve"> and </w:t>
      </w:r>
      <w:r>
        <w:rPr>
          <w:i/>
        </w:rPr>
        <w:t>M. trossulus</w:t>
      </w:r>
      <w:r>
        <w:t xml:space="preserve"> but usually closer to species dominating the population [16]. This means that in our analyses “</w:t>
      </w:r>
      <w:r>
        <w:rPr>
          <w:i/>
        </w:rPr>
        <w:t>M. edulis</w:t>
      </w:r>
      <w:r>
        <w:t xml:space="preserve"> genotypes” from </w:t>
      </w:r>
      <w:r>
        <w:rPr>
          <w:i/>
        </w:rPr>
        <w:t>M. trossulus</w:t>
      </w:r>
      <w:r>
        <w:t>-dominated populations included mostly hybrids with an increased frequency of the T-morphotype as compared to the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pPr>
      <w:bookmarkStart w:id="15" w:name="X65f6d8110d722e9a31c3d95cfd1ecea4f828ee3"/>
      <w:r>
        <w:t>Applications of the mussel morphotype test</w:t>
      </w:r>
      <w:bookmarkEnd w:id="15"/>
    </w:p>
    <w:p>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4"/>
      </w:pPr>
      <w:bookmarkStart w:id="16" w:name="Xe421fdfa62865bcd96ca804265557b1df30e970"/>
      <w:r>
        <w:t>Identification of taxonomic structure of populations from contact zones</w:t>
      </w:r>
      <w:bookmarkEnd w:id="16"/>
    </w:p>
    <w:p>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[5,7,57–59]).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12"/>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S3 Fig</w:t>
      </w:r>
      <w:r>
        <w:t>). Naturally, such predictions should be treated with the greatest caution.</w:t>
      </w:r>
    </w:p>
    <w:p>
      <w:pPr>
        <w:pStyle w:val="12"/>
      </w:pPr>
      <w: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12"/>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4"/>
      </w:pPr>
      <w:bookmarkStart w:id="17" w:name="individual-identification"/>
      <w:r>
        <w:t>Individual identification</w:t>
      </w:r>
      <w:bookmarkEnd w:id="17"/>
    </w:p>
    <w:p>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 xml:space="preserve"> mussels, while in the saline areas in the Barents Sea it did so only for </w:t>
      </w:r>
      <w:r>
        <w:rPr>
          <w:i/>
        </w:rPr>
        <w:t>M. edulis</w:t>
      </w:r>
      <w:r>
        <w:t xml:space="preserve"> mussels.</w:t>
      </w:r>
    </w:p>
    <w:p>
      <w:pPr>
        <w:pStyle w:val="12"/>
      </w:pPr>
      <w:r>
        <w:t xml:space="preserve">The morphotype test was already used for practical assignment of individuals in a study of prey selection of the predator starfish </w:t>
      </w:r>
      <w:r>
        <w:rPr>
          <w:i/>
        </w:rPr>
        <w:t>Asterias rubens</w:t>
      </w:r>
      <w: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rPr>
        <w:t>M. trossulus</w:t>
      </w:r>
      <w: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12"/>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pPr>
        <w:pStyle w:val="4"/>
      </w:pPr>
      <w:bookmarkStart w:id="18" w:name="pitfalls-of-the-morphotype-test"/>
      <w:r>
        <w:t>Pitfalls of the morphotype test</w:t>
      </w:r>
      <w:bookmarkEnd w:id="18"/>
    </w:p>
    <w:p>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S4 table</w:t>
      </w:r>
      <w: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pPr>
      <w:bookmarkStart w:id="19" w:name="Xab3c5739a33e180a967097c92617002345ea1e0"/>
      <w:r>
        <w:t>Uses and abuses of single marker taxonomic tests</w:t>
      </w:r>
      <w:bookmarkEnd w:id="19"/>
    </w:p>
    <w:p>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[60]. Hence, in practice, for diagnostic markers </w:t>
      </w:r>
      <w:r>
        <w:rPr>
          <w:i/>
        </w:rPr>
        <w:t>P(species|trait)</w:t>
      </w:r>
      <w:r>
        <w:t xml:space="preserve"> ≤ 1.</w:t>
      </w:r>
    </w:p>
    <w:p>
      <w:pPr>
        <w:pStyle w:val="12"/>
      </w:pPr>
      <w: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rPr>
        <w:t>P(species|trait)</w:t>
      </w:r>
      <w:r>
        <w:t xml:space="preserve"> &lt; 1. Similarly, dealing with population assessment we assess the probabilities of finding the representatives of one or another species in a sample but not the true proportion. The most critical point is that </w:t>
      </w:r>
      <w:r>
        <w:rPr>
          <w:i/>
        </w:rPr>
        <w:t>P(species|trait)</w:t>
      </w:r>
      <w:r>
        <w:t xml:space="preserve"> is not constant but varies, yet in predictable manner, with the prevalence of a species in a range [0;1].</w:t>
      </w:r>
    </w:p>
    <w:p>
      <w:pPr>
        <w:pStyle w:val="12"/>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6%.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[3,61]). The recent population genomic studies of hybridizing </w:t>
      </w:r>
      <w:r>
        <w:rPr>
          <w:i/>
        </w:rPr>
        <w:t>Mytilus</w:t>
      </w:r>
      <w:r>
        <w:t xml:space="preserve"> species indicate that these species can altogether lack fixed genetic differences due to ubiquitous introgression and that loci can introgress in unpredictable manner in different contact zones [47,62]. On these grounds, the conventional approach to mussel species identification based on singular molecular markers has been criticized [62].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12"/>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[63], cryptic species with statistical differentiation [64] and hybridizing species that secondarily lost fixed differences due to introgressive hybridization [65].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20" w:name="acknowledgments"/>
      <w:r>
        <w:t>Acknowledgments</w:t>
      </w:r>
      <w:bookmarkEnd w:id="20"/>
    </w:p>
    <w:p>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 We are grateful to Alexey Mirolyubov for his help in preparing images of mussels.</w:t>
      </w:r>
    </w:p>
    <w:p>
      <w:pPr>
        <w:pStyle w:val="2"/>
      </w:pPr>
      <w:bookmarkStart w:id="21" w:name="references"/>
      <w:r>
        <w:t>References</w:t>
      </w:r>
      <w:bookmarkEnd w:id="21"/>
    </w:p>
    <w:p>
      <w:bookmarkStart w:id="22" w:name="ref-riginos2005invited"/>
      <w:bookmarkStart w:id="23" w:name="refs"/>
      <w:r>
        <w:t>1. Riginos C, Cunningham CW. Invited review: Local adaptation and species segregation in two mussel (</w:t>
      </w:r>
      <w:r>
        <w:rPr>
          <w:i/>
        </w:rPr>
        <w:t>Mytilus edulis</w:t>
      </w:r>
      <w:r>
        <w:t xml:space="preserve"> </w:t>
      </w:r>
      <m:oMath>
        <m:r>
          <m:t>×</m:t>
        </m:r>
      </m:oMath>
      <w:r>
        <w:t xml:space="preserve"> </w:t>
      </w:r>
      <w:r>
        <w:rPr>
          <w:i/>
        </w:rPr>
        <w:t>Mytilus trossulus</w:t>
      </w:r>
      <w:r>
        <w:t xml:space="preserve">) hybrid zones. Mol Ecol. 2005;14: 381–400. </w:t>
      </w:r>
    </w:p>
    <w:bookmarkEnd w:id="22"/>
    <w:p>
      <w:bookmarkStart w:id="24" w:name="ref-rawson2009colonization"/>
      <w:r>
        <w:t xml:space="preserve">2. Rawson PD, Harper FM. Colonization of the northwest Atlantic by the blue mussel, </w:t>
      </w:r>
      <w:r>
        <w:rPr>
          <w:i/>
        </w:rPr>
        <w:t>Mytilus trossulus</w:t>
      </w:r>
      <w:r>
        <w:t xml:space="preserve"> postdates the last glacial maximum. Mar Biol. 2009;156: 1857–1868. </w:t>
      </w:r>
    </w:p>
    <w:bookmarkEnd w:id="24"/>
    <w:p>
      <w:bookmarkStart w:id="25" w:name="ref-vainola2011mytilus"/>
      <w:r>
        <w:t xml:space="preserve">3. Väinölä R, Strelkov P. </w:t>
      </w:r>
      <w:r>
        <w:rPr>
          <w:i/>
        </w:rPr>
        <w:t>Mytilus trossulus</w:t>
      </w:r>
      <w:r>
        <w:t xml:space="preserve"> in northern Europe. Mar Biol. 2011;158: 817–833. </w:t>
      </w:r>
    </w:p>
    <w:bookmarkEnd w:id="25"/>
    <w:p>
      <w:bookmarkStart w:id="26"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 2016;39: 343–355. </w:t>
      </w:r>
    </w:p>
    <w:bookmarkEnd w:id="26"/>
    <w:p>
      <w:bookmarkStart w:id="27"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7"/>
    <w:p>
      <w:bookmarkStart w:id="28" w:name="ref-varvio1988evolutionary"/>
      <w:r>
        <w:t xml:space="preserve">6. Varvio S-L, Koehn RK, Väinölä R. Evolutionary genetics of the </w:t>
      </w:r>
      <w:r>
        <w:rPr>
          <w:i/>
        </w:rPr>
        <w:t>Mytilus edulis</w:t>
      </w:r>
      <w:r>
        <w:t xml:space="preserve"> complex in the North Atlantic region. Mar Biol. 1988;98: 51–60. </w:t>
      </w:r>
    </w:p>
    <w:bookmarkEnd w:id="28"/>
    <w:p>
      <w:bookmarkStart w:id="29" w:name="ref-mcdonald1991allozymes"/>
      <w:r>
        <w:t xml:space="preserve">7. McDonald J, Seed R, Koehn R. Allozymes and morphometric characters of three species of </w:t>
      </w:r>
      <w:r>
        <w:rPr>
          <w:i/>
        </w:rPr>
        <w:t>Mytilus</w:t>
      </w:r>
      <w:r>
        <w:t xml:space="preserve"> in the northern and southern hemispheres. Mar Biol. 1991;111: 323–333. </w:t>
      </w:r>
    </w:p>
    <w:bookmarkEnd w:id="29"/>
    <w:p>
      <w:bookmarkStart w:id="30"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 J Fish Aquat Sci. 1995;52: 1873–1880. </w:t>
      </w:r>
    </w:p>
    <w:bookmarkEnd w:id="30"/>
    <w:p>
      <w:bookmarkStart w:id="31" w:name="ref-innes1999morphological"/>
      <w:r>
        <w:t xml:space="preserve">9. Innes D, Bates J. Morphological variation of </w:t>
      </w:r>
      <w:r>
        <w:rPr>
          <w:i/>
        </w:rPr>
        <w:t>Mytilus edulis</w:t>
      </w:r>
      <w:r>
        <w:t xml:space="preserve"> and </w:t>
      </w:r>
      <w:r>
        <w:rPr>
          <w:i/>
        </w:rPr>
        <w:t>Mytilus trossulus</w:t>
      </w:r>
      <w:r>
        <w:t xml:space="preserve"> in eastern Newfoundland. Mar Biol. 1999;133: 691–699. </w:t>
      </w:r>
    </w:p>
    <w:bookmarkEnd w:id="31"/>
    <w:p>
      <w:bookmarkStart w:id="32" w:name="ref-telesca2018blue"/>
      <w:r>
        <w:t xml:space="preserve">10. Telesca L, Michalek K, Sanders T, Peck LS, Thyrring J, Harper EM. Blue mussel shell shape plasticity and natural environments: A quantitative approach. Sci Rep. 2018;8: 2865. </w:t>
      </w:r>
    </w:p>
    <w:bookmarkEnd w:id="32"/>
    <w:p>
      <w:bookmarkStart w:id="33" w:name="ref-larrain2019comparison"/>
      <w:r>
        <w:t xml:space="preserve">11. Larraı́n MA, González P, Pérez C, Araneda C. Comparison between single and multi-locus approaches for specimen identification in </w:t>
      </w:r>
      <w:r>
        <w:rPr>
          <w:i/>
        </w:rPr>
        <w:t>Mytilus</w:t>
      </w:r>
      <w:r>
        <w:t xml:space="preserve"> mussels. Sci Rep. 2019;9: 1–13. </w:t>
      </w:r>
    </w:p>
    <w:bookmarkEnd w:id="33"/>
    <w:p>
      <w:bookmarkStart w:id="34" w:name="ref-seed1992population"/>
      <w:r>
        <w:t xml:space="preserve">12. Seed R, Suchanek TH. Population and community ecology of Mytilus. The mussel Mytilus: ecology, physiology, genetics and culture. 1992;25: 87–170. </w:t>
      </w:r>
    </w:p>
    <w:bookmarkEnd w:id="34"/>
    <w:p>
      <w:bookmarkStart w:id="35" w:name="ref-mangerud2018holocene"/>
      <w:r>
        <w:t xml:space="preserve">13. Mangerud J, Svendsen JI. The holocene thermal maximum around Svalbard, Arctic North Atlantic: Molluscs show early and exceptional warmth. The Holocene. 2018;28: 65–83. </w:t>
      </w:r>
    </w:p>
    <w:bookmarkEnd w:id="35"/>
    <w:p>
      <w:bookmarkStart w:id="36"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23"/>
        </w:rPr>
        <w:t>http://www.fao.org/fishery/statistics/software/fishstatj/en.</w:t>
      </w:r>
      <w:r>
        <w:rPr>
          <w:rStyle w:val="23"/>
        </w:rPr>
        <w:fldChar w:fldCharType="end"/>
      </w:r>
    </w:p>
    <w:bookmarkEnd w:id="36"/>
    <w:p>
      <w:bookmarkStart w:id="37" w:name="ref-lobel1990recent"/>
      <w:r>
        <w:t xml:space="preserve">15. Lobel P, Belkhode S, Jackson S, Longerich H. Recent taxonomic discoveries concerning the mussel </w:t>
      </w:r>
      <w:r>
        <w:rPr>
          <w:i/>
        </w:rPr>
        <w:t>Mytilus</w:t>
      </w:r>
      <w:r>
        <w:t xml:space="preserve">: Implications for biomonitoring. Arch Environ Contam Toxicol. 1990;19: 508–512. </w:t>
      </w:r>
    </w:p>
    <w:bookmarkEnd w:id="37"/>
    <w:p>
      <w:bookmarkStart w:id="38"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8"/>
    <w:p>
      <w:bookmarkStart w:id="39" w:name="ref-michalek2016mytilus"/>
      <w:r>
        <w:t xml:space="preserve">17. Michalek K, Ventura A, Sanders T. </w:t>
      </w:r>
      <w:r>
        <w:rPr>
          <w:i/>
        </w:rPr>
        <w:t>Mytilus</w:t>
      </w:r>
      <w:r>
        <w:t xml:space="preserve"> hybridisation and impact on aquaculture: A minireview. Mar Geonomics. 2016;27: 3–7. </w:t>
      </w:r>
    </w:p>
    <w:bookmarkEnd w:id="39"/>
    <w:p>
      <w:bookmarkStart w:id="40" w:name="ref-beyer2017blue"/>
      <w:r>
        <w:t>18. Beyer J, Green NW, Brooks S, Allan IJ, Ruus A, Gomes T, et al. Blue mussels (</w:t>
      </w:r>
      <w:r>
        <w:rPr>
          <w:i/>
        </w:rPr>
        <w:t>Mytilus edulis</w:t>
      </w:r>
      <w:r>
        <w:t xml:space="preserve"> spp.) as sentinel organisms in coastal pollution monitoring: A review. Mar Environ Res. 2017;130: 338–365. </w:t>
      </w:r>
    </w:p>
    <w:bookmarkEnd w:id="40"/>
    <w:p>
      <w:bookmarkStart w:id="41" w:name="ref-beaumont2008three"/>
      <w:r>
        <w:t xml:space="preserve">19. Beaumont AR, Hawkins MP, Doig FL, Davies IM, Snow M. Three species of </w:t>
      </w:r>
      <w:r>
        <w:rPr>
          <w:i/>
        </w:rPr>
        <w:t>Mytilus</w:t>
      </w:r>
      <w:r>
        <w:t xml:space="preserve"> and their hybrids identified in a Scottish loch: Natives, relicts and invaders? J Exp Mar Biol Ecol. 2008;367: 100–110. </w:t>
      </w:r>
    </w:p>
    <w:bookmarkEnd w:id="41"/>
    <w:p>
      <w:bookmarkStart w:id="42" w:name="ref-dias2011survey"/>
      <w:r>
        <w:t xml:space="preserve">20. Dias PJ, Piertney SB, Snow M, Davies IM. Survey and management of mussel </w:t>
      </w:r>
      <w:r>
        <w:rPr>
          <w:i/>
        </w:rPr>
        <w:t>Mytilus</w:t>
      </w:r>
      <w:r>
        <w:t xml:space="preserve"> species in scotland. Hydrobiologia. 2011;670: 127. </w:t>
      </w:r>
    </w:p>
    <w:bookmarkEnd w:id="42"/>
    <w:p>
      <w:bookmarkStart w:id="43"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 Res. 2002;33: 693–702. </w:t>
      </w:r>
    </w:p>
    <w:bookmarkEnd w:id="43"/>
    <w:p>
      <w:bookmarkStart w:id="44"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4"/>
    <w:p>
      <w:bookmarkStart w:id="45" w:name="ref-padial2010integrative"/>
      <w:r>
        <w:t xml:space="preserve">23. Padial JM, Miralles A, De la Riva I, Vences M. The integrative future of taxonomy. Frontiers in zoology. 2010;7: 16. </w:t>
      </w:r>
    </w:p>
    <w:bookmarkEnd w:id="45"/>
    <w:p>
      <w:bookmarkStart w:id="46" w:name="ref-banoo2007evaluation"/>
      <w:r>
        <w:t xml:space="preserve">24. Banoo S, Bell D, Bossuyt P, Herring A, Mabey D, Poole F, et al. Evaluation of diagnostic tests for infectious diseases: General principles. Nat Rev Microbiol. 2007;5: S21–S31. </w:t>
      </w:r>
    </w:p>
    <w:bookmarkEnd w:id="46"/>
    <w:p>
      <w:bookmarkStart w:id="47" w:name="ref-derjugin1928fauna"/>
      <w:r>
        <w:t xml:space="preserve">25. Derjugin K. Fauna of the White Sea and the environmental conditions of its existence (in Russian). Explorations of the Fauna of the Seas of the USSR, Leningrad. 1928;78: 512. </w:t>
      </w:r>
    </w:p>
    <w:bookmarkEnd w:id="47"/>
    <w:p>
      <w:bookmarkStart w:id="48" w:name="ref-derjugin1915fauna"/>
      <w:r>
        <w:t xml:space="preserve">26. Derjugin K. Fauna of the Kola Bay and conditions of its existence (in Russian ). Mémoires de l’Académie Impériale des Sciences, ser 8, classe physico-mathématique. 1915;34: 1–929. </w:t>
      </w:r>
    </w:p>
    <w:bookmarkEnd w:id="48"/>
    <w:p>
      <w:bookmarkStart w:id="49" w:name="ref-ridgway2004genotypes"/>
      <w:r>
        <w:t xml:space="preserve">27. Ridgway G, Nævdal G. Genotypes of </w:t>
      </w:r>
      <w:r>
        <w:rPr>
          <w:i/>
        </w:rPr>
        <w:t>Mytilus</w:t>
      </w:r>
      <w:r>
        <w:t xml:space="preserve"> from waters of different salinity around Bergen, Norway. Helgol Mar Res. 2004;58: 104. </w:t>
      </w:r>
    </w:p>
    <w:bookmarkEnd w:id="49"/>
    <w:p>
      <w:bookmarkStart w:id="50" w:name="ref-bobkov2010tidal"/>
      <w:r>
        <w:t xml:space="preserve">28. Bobkov A, Strelkov P, Il’Ina A. Tidal variability of oceanological conditions of submarine landscapes on sublittoral of the inlet Ivanovskaya. Vestnik Sankt-Peterburgskogo Universiteta, Seriya Geologiya i Geografiya. 2010;2010: 86–99. </w:t>
      </w:r>
    </w:p>
    <w:bookmarkEnd w:id="50"/>
    <w:p>
      <w:bookmarkStart w:id="51" w:name="ref-dias2009mytilus"/>
      <w:r>
        <w:t xml:space="preserve">29. Dias P, Bland M, Shanks A, Beaumont A, Piertney S, Davies I, et al. </w:t>
      </w:r>
      <w:r>
        <w:rPr>
          <w:i/>
        </w:rPr>
        <w:t>Mytilus</w:t>
      </w:r>
      <w:r>
        <w:t xml:space="preserve"> species under rope culture in Scotland: Implications for management. Aquacult Int. 2009;17: 437–448. </w:t>
      </w:r>
    </w:p>
    <w:bookmarkEnd w:id="51"/>
    <w:p>
      <w:bookmarkStart w:id="52" w:name="ref-kingston2018linking"/>
      <w: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2"/>
    <w:p>
      <w:bookmarkStart w:id="53" w:name="ref-matishov2009kola"/>
      <w:r>
        <w:t xml:space="preserve">31. Matishov G. Kola bay: Development and rational nature management. Nauka Press, Moscow; 2009. </w:t>
      </w:r>
    </w:p>
    <w:bookmarkEnd w:id="53"/>
    <w:p>
      <w:bookmarkStart w:id="54" w:name="ref-strelkov2017temporal"/>
      <w:r>
        <w:t xml:space="preserve">32. Strelkov P, Katolikova M, Väinolä R. Temporal change of the baltic sea–north sea blue mussel hybrid zone over two decades. Mar Biol. 2017;164: 214. </w:t>
      </w:r>
    </w:p>
    <w:bookmarkEnd w:id="54"/>
    <w:p>
      <w:bookmarkStart w:id="55" w:name="ref-martino2019blue"/>
      <w:r>
        <w:t xml:space="preserve">33. Martino PA, Carlon DB, Kingston SE. Blue mussel (genus </w:t>
      </w:r>
      <w:r>
        <w:rPr>
          <w:i/>
        </w:rPr>
        <w:t>Mytilus</w:t>
      </w:r>
      <w:r>
        <w:t xml:space="preserve">) transcriptome response to simulated climate change in the Gulf of Maine. Journal of Shellfish Research. 2019;38: 587–602. </w:t>
      </w:r>
    </w:p>
    <w:bookmarkEnd w:id="55"/>
    <w:p>
      <w:bookmarkStart w:id="56" w:name="ref-pritchard2000inference"/>
      <w:r>
        <w:t xml:space="preserve">34. Pritchard JK, Stephens M, Donnelly P. Inference of population structure using multilocus genotype data. Genetics. 2000;155: 945–959. </w:t>
      </w:r>
    </w:p>
    <w:bookmarkEnd w:id="56"/>
    <w:p>
      <w:bookmarkStart w:id="57" w:name="ref-raj2014faststructure"/>
      <w:r>
        <w:t xml:space="preserve">35. Raj A, Stephens M, Pritchard JK. fastSTRUCTURE: Variational inference of population structure in large SNP data sets. Genetics. 2014;197: 573–589. </w:t>
      </w:r>
    </w:p>
    <w:bookmarkEnd w:id="57"/>
    <w:p>
      <w:bookmarkStart w:id="58" w:name="ref-leeflang2013variation"/>
      <w:r>
        <w:t xml:space="preserve">36. Leeflang MM, Rutjes AW, Reitsma JB, Hooft L, Bossuyt PM. Variation of a test’s sensitivity and specificity with disease prevalence. Cmaj. 2013;185: E537–E544. </w:t>
      </w:r>
    </w:p>
    <w:bookmarkEnd w:id="58"/>
    <w:p>
      <w:bookmarkStart w:id="59" w:name="ref-R_2019"/>
      <w: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23"/>
        </w:rPr>
        <w:t>https://www.R-project.org/</w:t>
      </w:r>
      <w:r>
        <w:rPr>
          <w:rStyle w:val="23"/>
        </w:rPr>
        <w:fldChar w:fldCharType="end"/>
      </w:r>
    </w:p>
    <w:bookmarkEnd w:id="59"/>
    <w:p>
      <w:bookmarkStart w:id="60" w:name="ref-lme4"/>
      <w: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23"/>
        </w:rPr>
        <w:t>10.18637/jss.v067.i01</w:t>
      </w:r>
      <w:r>
        <w:rPr>
          <w:rStyle w:val="23"/>
        </w:rPr>
        <w:fldChar w:fldCharType="end"/>
      </w:r>
    </w:p>
    <w:bookmarkEnd w:id="60"/>
    <w:p>
      <w:bookmarkStart w:id="61" w:name="ref-barton_mumin:_2016"/>
      <w:r>
        <w:t xml:space="preserve">39. Barton K. MuMIn: Multi-model inference. 2018. Available: </w:t>
      </w:r>
      <w:r>
        <w:fldChar w:fldCharType="begin"/>
      </w:r>
      <w:r>
        <w:instrText xml:space="preserve"> HYPERLINK "https://CRAN.R-project.org/package=MuMIn" \h </w:instrText>
      </w:r>
      <w:r>
        <w:fldChar w:fldCharType="separate"/>
      </w:r>
      <w:r>
        <w:rPr>
          <w:rStyle w:val="23"/>
        </w:rPr>
        <w:t>https://CRAN.R-project.org/package=MuMIn</w:t>
      </w:r>
      <w:r>
        <w:rPr>
          <w:rStyle w:val="23"/>
        </w:rPr>
        <w:fldChar w:fldCharType="end"/>
      </w:r>
    </w:p>
    <w:bookmarkEnd w:id="61"/>
    <w:p>
      <w:bookmarkStart w:id="62" w:name="ref-nakagawa_general_2013"/>
      <w:r>
        <w:t xml:space="preserve">40. Nakagawa S, Schielzeth H. A general and simple method for obtaining </w:t>
      </w:r>
      <w:r>
        <w:rPr>
          <w:i/>
        </w:rPr>
        <w:t>r</w:t>
      </w:r>
      <w:r>
        <w:t xml:space="preserve"> </w:t>
      </w:r>
      <m:oMath>
        <m:sSup>
          <m:sSupPr/>
          <m:e>
            <m:r>
              <m:t>​</m:t>
            </m:r>
          </m:e>
          <m:sup>
            <m:r>
              <m:rPr>
                <m:nor/>
                <m:sty m:val="p"/>
              </m:rPr>
              <w:rPr>
                <w:b w:val="0"/>
                <w:i w:val="0"/>
              </w:rPr>
              <m:t>2</m:t>
            </m:r>
          </m:sup>
        </m:sSup>
      </m:oMath>
      <w: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23"/>
        </w:rPr>
        <w:t>10.1111/j.2041-210x.2012.00261.x</w:t>
      </w:r>
      <w:r>
        <w:rPr>
          <w:rStyle w:val="23"/>
        </w:rPr>
        <w:fldChar w:fldCharType="end"/>
      </w:r>
    </w:p>
    <w:bookmarkEnd w:id="62"/>
    <w:p>
      <w:bookmarkStart w:id="63" w:name="ref-queen2002experimental"/>
      <w:r>
        <w:t xml:space="preserve">41. Queen JP, Quinn GP, Keough MJ. Experimental design and data analysis for biologists. Cambridge university press; 2002. </w:t>
      </w:r>
    </w:p>
    <w:bookmarkEnd w:id="63"/>
    <w:p>
      <w:bookmarkStart w:id="64" w:name="ref-geist2008use"/>
      <w:r>
        <w:t xml:space="preserve">42. Geist J, Wunderlich H, Kuehn R. Use of mollusc shells for DNA-based molecular analyses. Journal of Molluscan Studies. 2008;74: 337–343. </w:t>
      </w:r>
    </w:p>
    <w:bookmarkEnd w:id="64"/>
    <w:p>
      <w:bookmarkStart w:id="65" w:name="ref-der2020unveiling"/>
      <w:r>
        <w:t xml:space="preserve">43. Der Sarkissian C, Möller P, Hofman C, Ilsøe P, Rick T, Schiøtte T, et al. Unveiling the ecological applications of ancient DNA from mollusk shells. Frontiers in Ecology and Evolution. 2020;8: 1–21. </w:t>
      </w:r>
    </w:p>
    <w:bookmarkEnd w:id="65"/>
    <w:p>
      <w:bookmarkStart w:id="66" w:name="ref-zolotarev1997relations"/>
      <w:r>
        <w:t xml:space="preserve">44. Zolotarev V, Shurova N. Relations of prismatic and nacreous layers in the shells of the mussel </w:t>
      </w:r>
      <w:r>
        <w:rPr>
          <w:i/>
        </w:rPr>
        <w:t>Mytilus trossulus</w:t>
      </w:r>
      <w:r>
        <w:t xml:space="preserve">. Russ J Mar Biol. 1997;23: 26–31. </w:t>
      </w:r>
    </w:p>
    <w:bookmarkEnd w:id="66"/>
    <w:p>
      <w:bookmarkStart w:id="67" w:name="ref-vervoenen2000mytilus"/>
      <w:r>
        <w:t xml:space="preserve">45. Vervoenen M, Wesselingh F, Nieulande F van. Mytilus antiquorum j. Sowerby, 1821 and other pliocene mussels (Mollusca, Bivalvia) from the Southern North Sea Basin. Mededelingen van de Werkgroep voor Tertiaire en Kwartaire Geologie. 2000;37: 73–81. </w:t>
      </w:r>
    </w:p>
    <w:bookmarkEnd w:id="67"/>
    <w:p>
      <w:bookmarkStart w:id="68" w:name="ref-Zolotar2002"/>
      <w:r>
        <w:t xml:space="preserve">46. Zolotarev V. Morphological differences in mussels from </w:t>
      </w:r>
      <w:r>
        <w:rPr>
          <w:i/>
        </w:rPr>
        <w:t>Mytilus edulis</w:t>
      </w:r>
      <w:r>
        <w:t xml:space="preserve"> group (in Russian ). Vestnik Zhitomerskogo pedagogicheskogo universiteta. 2002;10: 5–8. </w:t>
      </w:r>
    </w:p>
    <w:bookmarkEnd w:id="68"/>
    <w:p>
      <w:bookmarkStart w:id="69" w:name="ref-fraisse2016local"/>
      <w:r>
        <w:t xml:space="preserve">47. Fraı̈sse C, Belkhir K, Welch JJ, Bierne N. Local interspecies introgression is the main cause of extreme levels of intraspecific differentiation in mussels. Mol Ecol. 2016;25: 269–286. </w:t>
      </w:r>
    </w:p>
    <w:bookmarkEnd w:id="69"/>
    <w:p>
      <w:bookmarkStart w:id="70" w:name="ref-smietanka2017disruption"/>
      <w:r>
        <w:t xml:space="preserve">48.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 Biol. 2017;164: 209. </w:t>
      </w:r>
    </w:p>
    <w:bookmarkEnd w:id="70"/>
    <w:p>
      <w:bookmarkStart w:id="71" w:name="ref-currey1974mechanical"/>
      <w:r>
        <w:t xml:space="preserve">49. Currey J, Taylor J. The mechanical behaviour of some molluscan hard tissues. J Zool. 1974;173: 395–406. </w:t>
      </w:r>
    </w:p>
    <w:bookmarkEnd w:id="71"/>
    <w:p>
      <w:bookmarkStart w:id="72" w:name="ref-steinacher2009imminent"/>
      <w:r>
        <w:t xml:space="preserve">50. Steinacher M, Joos F, Frölicher TL, Plattner G-K, Doney SC. Imminent ocean acidification in the Arctic projected with the NCAR global coupled carbon cycle-climate model. Biogeosciences. 2009;6: 515–533. </w:t>
      </w:r>
    </w:p>
    <w:bookmarkEnd w:id="72"/>
    <w:p>
      <w:bookmarkStart w:id="73" w:name="ref-zenkevitch1963biology"/>
      <w:r>
        <w:t xml:space="preserve">51. Zenkevitch L. Biology of the seas of the USSR george allen &amp; unwin ltd. London, UK. 1963. </w:t>
      </w:r>
    </w:p>
    <w:bookmarkEnd w:id="73"/>
    <w:p>
      <w:bookmarkStart w:id="74" w:name="ref-duarte2020dense"/>
      <w:r>
        <w:t xml:space="preserve">52. Duarte CM, Rodriguez-Navarro AB, Delgado-Huertas A, Krause-Jensen D. Dense </w:t>
      </w:r>
      <w:r>
        <w:rPr>
          <w:i/>
        </w:rPr>
        <w:t>Mytilus</w:t>
      </w:r>
      <w:r>
        <w:t xml:space="preserve"> beds along freshwater-influenced </w:t>
      </w:r>
      <m:oMath>
        <m:r>
          <m:t>Greenland</m:t>
        </m:r>
      </m:oMath>
      <w:r>
        <w:t xml:space="preserve"> shores: Resistance to corrosive waters under high food supply. Estuaries Coasts. 2020;43: 387–395. </w:t>
      </w:r>
    </w:p>
    <w:bookmarkEnd w:id="74"/>
    <w:p>
      <w:bookmarkStart w:id="75" w:name="ref-bufalova2005mytilus"/>
      <w:r>
        <w:t xml:space="preserve">53. Bufalova E, Strelkov P, Katolikova M, Sukhotin A, Kozin M. </w:t>
      </w:r>
      <w:r>
        <w:rPr>
          <w:i/>
        </w:rPr>
        <w:t>Mytilus</w:t>
      </w:r>
      <w:r>
        <w:t xml:space="preserve"> of the Tuva Bay (Kola Bay, Barents Sea). Vestnik SPBGU. 2005;3: 99–105. </w:t>
      </w:r>
    </w:p>
    <w:bookmarkEnd w:id="75"/>
    <w:p>
      <w:bookmarkStart w:id="76" w:name="ref-melzner2011food"/>
      <w:r>
        <w:t xml:space="preserve">54. Melzner F, Stange P, Trübenbach K, Thomsen J, Casties I, Panknin U, et al. Food supply and seawater </w:t>
      </w:r>
      <m:oMath>
        <m:r>
          <m:t>pC</m:t>
        </m:r>
        <m:sSub>
          <m:sSubPr/>
          <m:e>
            <m:r>
              <m:t>O</m:t>
            </m:r>
          </m:e>
          <m:sub>
            <m:r>
              <m:t>2</m:t>
            </m:r>
          </m:sub>
        </m:sSub>
      </m:oMath>
      <w:r>
        <w:t xml:space="preserve"> impact calcification and internal shell dissolution in the blue mussel </w:t>
      </w:r>
      <w:r>
        <w:rPr>
          <w:i/>
        </w:rPr>
        <w:t>Mytilus edulis</w:t>
      </w:r>
      <w:r>
        <w:t xml:space="preserve">. PloS One. 2011;6: e24223. </w:t>
      </w:r>
    </w:p>
    <w:bookmarkEnd w:id="76"/>
    <w:p>
      <w:bookmarkStart w:id="77" w:name="ref-lowen_predator-induced_2013"/>
      <w:r>
        <w:t xml:space="preserve">55. Lowen J, Innes D, Thompson R. Predator-induced defenses differ between sympatric </w:t>
      </w:r>
      <w:r>
        <w:rPr>
          <w:i/>
        </w:rPr>
        <w:t>Mytilus edulis</w:t>
      </w:r>
      <w:r>
        <w:t xml:space="preserve"> and </w:t>
      </w:r>
      <w:r>
        <w:rPr>
          <w:i/>
        </w:rPr>
        <w:t>M. trossulus</w:t>
      </w:r>
      <w:r>
        <w:t>. Mar Ecol Prog Ser. 2013;475: 135–143. doi:</w:t>
      </w:r>
      <w:r>
        <w:fldChar w:fldCharType="begin"/>
      </w:r>
      <w:r>
        <w:instrText xml:space="preserve"> HYPERLINK "https://doi.org/10.3354/meps10106" \h </w:instrText>
      </w:r>
      <w:r>
        <w:fldChar w:fldCharType="separate"/>
      </w:r>
      <w:r>
        <w:rPr>
          <w:rStyle w:val="23"/>
        </w:rPr>
        <w:t>10.3354/meps10106</w:t>
      </w:r>
      <w:r>
        <w:rPr>
          <w:rStyle w:val="23"/>
        </w:rPr>
        <w:fldChar w:fldCharType="end"/>
      </w:r>
    </w:p>
    <w:bookmarkEnd w:id="77"/>
    <w:p>
      <w:bookmarkStart w:id="78" w:name="ref-leeflang2009diagnostic"/>
      <w:r>
        <w:t xml:space="preserve">56. Leeflang MM, Bossuyt PM, Irwig L. Diagnostic test accuracy may vary with prevalence: Implications for evidence-based diagnosis. J Clin Epidemiol. 2009;62: 5–12. </w:t>
      </w:r>
    </w:p>
    <w:bookmarkEnd w:id="78"/>
    <w:p>
      <w:bookmarkStart w:id="79" w:name="ref-bates1995genetic"/>
      <w:r>
        <w:t xml:space="preserve">57. Bates J, Innes D. Genetic variation among populations of </w:t>
      </w:r>
      <w:r>
        <w:rPr>
          <w:i/>
        </w:rPr>
        <w:t>Mytilus</w:t>
      </w:r>
      <w:r>
        <w:t xml:space="preserve"> spp. In eastern Newfoundland. Mar Biol. 1995;124: 417–424. </w:t>
      </w:r>
    </w:p>
    <w:bookmarkEnd w:id="79"/>
    <w:p>
      <w:bookmarkStart w:id="80" w:name="ref-rawson2001species"/>
      <w:r>
        <w:t xml:space="preserve">58. Rawson PD, Hayhurst S, Vanscoyoc B. Species composition of blue mussel populations in the northeastern Gulf of Maine. Journal of Shellfish Research. 2001;20: 31–38. </w:t>
      </w:r>
    </w:p>
    <w:bookmarkEnd w:id="80"/>
    <w:p>
      <w:bookmarkStart w:id="81" w:name="ref-stuckas2017combining"/>
      <w:r>
        <w:t xml:space="preserve">59. Stuckas H, Knöbel L, Schade H, Breusing C, Hinrichsen H-H, Bartel M, et al. Combining hydrodynamic modelling with genetics: Can passive larval drift shape the genetic structure of Baltic </w:t>
      </w:r>
      <w:r>
        <w:rPr>
          <w:i/>
        </w:rPr>
        <w:t>Mytilus</w:t>
      </w:r>
      <w:r>
        <w:t xml:space="preserve"> populations? Mol Ecol. 2017;26: 2765–2782. </w:t>
      </w:r>
    </w:p>
    <w:bookmarkEnd w:id="81"/>
    <w:p>
      <w:bookmarkStart w:id="82" w:name="ref-wiens2000species"/>
      <w:r>
        <w:t xml:space="preserve">60. Wiens JJ, Servedio MR. Species delimitation in systematics: Inferring diagnostic differences between species. Proc R Soc Lond B Biol Sci. 2000;267: 631–636. </w:t>
      </w:r>
    </w:p>
    <w:bookmarkEnd w:id="82"/>
    <w:p>
      <w:bookmarkStart w:id="83" w:name="ref-wilson2018new"/>
      <w:r>
        <w:t xml:space="preserve">61. Wilson J, Matejusova I, McIntosh RE, Carboni S, Bekaert M. New diagnostic SNP molecular markers for the </w:t>
      </w:r>
      <w:r>
        <w:rPr>
          <w:i/>
        </w:rPr>
        <w:t>Mytilus</w:t>
      </w:r>
      <w:r>
        <w:t xml:space="preserve"> species complex. PloS One. 2018;13: e0200654. </w:t>
      </w:r>
    </w:p>
    <w:bookmarkEnd w:id="83"/>
    <w:p>
      <w:bookmarkStart w:id="84" w:name="ref-simon2019local"/>
      <w:r>
        <w:t xml:space="preserve">62. Simon A, Fraı̈sse C, El Ayari T, Liautard-Haag C, Strelkov P, Welch JJ, et al. Local introgression at two spatial scales in mosaic hybrid zones of mussels. BioRxiv. 2019; 818559. </w:t>
      </w:r>
    </w:p>
    <w:bookmarkEnd w:id="84"/>
    <w:p>
      <w:bookmarkStart w:id="85" w:name="ref-amadon1949seventy"/>
      <w:r>
        <w:t xml:space="preserve">63. Amadon D. The seventy-five per cent rule for subspecies. The Condor. 1949;51: 250–258. </w:t>
      </w:r>
    </w:p>
    <w:bookmarkEnd w:id="85"/>
    <w:p>
      <w:bookmarkStart w:id="86" w:name="ref-chenuil2019problems"/>
      <w:r>
        <w:t xml:space="preserve">64. Chenuil A, Cahill AE, Délémontey N, Luc EDS du, Fanton H. Problems and questions posed by cryptic species. A framework to guide future studies. From assessing to conserving biodiversity. Springer, Cham; 2019. pp. 77–106. </w:t>
      </w:r>
    </w:p>
    <w:bookmarkEnd w:id="86"/>
    <w:p>
      <w:bookmarkStart w:id="87" w:name="ref-fitzpatrick2015hybridization"/>
      <w:r>
        <w:t xml:space="preserve">65. Fitzpatrick BM, Ryan ME, Johnson JR, Corush J, Carter ET. Hybridization and the species problem in conservation. Current Zoology. 2015;61: 206–216. </w:t>
      </w:r>
    </w:p>
    <w:bookmarkEnd w:id="23"/>
    <w:bookmarkEnd w:id="87"/>
    <w:sectPr>
      <w:footerReference r:id="rId3" w:type="default"/>
      <w:footerReference r:id="rId4" w:type="even"/>
      <w:pgSz w:w="12242" w:h="15842"/>
      <w:pgMar w:top="1134" w:right="1134" w:bottom="1134" w:left="1134" w:header="709" w:footer="709" w:gutter="0"/>
      <w:lnNumType w:countBy="1"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SimSun"/>
    <w:panose1 w:val="020B0604020202020204"/>
    <w:charset w:val="86"/>
    <w:family w:val="roman"/>
    <w:pitch w:val="default"/>
    <w:sig w:usb0="00000000" w:usb1="00000000" w:usb2="0000003F" w:usb3="00000000" w:csb0="603F01FF" w:csb1="FFFF0000"/>
  </w:font>
  <w:font w:name="Cambria Math">
    <w:panose1 w:val="02040503050406030204"/>
    <w:charset w:val="CC"/>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YaHei Light">
    <w:panose1 w:val="020B0502040204020203"/>
    <w:charset w:val="86"/>
    <w:family w:val="auto"/>
    <w:pitch w:val="default"/>
    <w:sig w:usb0="80000287" w:usb1="2ACF001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Yu Gothic UI Semibold">
    <w:panose1 w:val="020B07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8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Engravers MT">
    <w:panose1 w:val="020907070805050203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Gill Sans MT">
    <w:panose1 w:val="020B05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oudy Stout">
    <w:panose1 w:val="0202090407030B020401"/>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mprint MT Shadow">
    <w:panose1 w:val="0402060506030303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5"/>
          <w:jc w:val="right"/>
        </w:pPr>
        <w:r>
          <w:fldChar w:fldCharType="begin"/>
        </w:r>
        <w:r>
          <w:instrText xml:space="preserve">PAGE   \* MERGEFORMAT</w:instrText>
        </w:r>
        <w:r>
          <w:fldChar w:fldCharType="separate"/>
        </w:r>
        <w:r>
          <w:t>3</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4"/>
      </w:rPr>
    </w:pPr>
    <w:r>
      <w:rPr>
        <w:rStyle w:val="24"/>
      </w:rPr>
      <w:fldChar w:fldCharType="begin"/>
    </w:r>
    <w:r>
      <w:rPr>
        <w:rStyle w:val="24"/>
      </w:rPr>
      <w:instrText xml:space="preserve">PAGE  </w:instrText>
    </w:r>
    <w:r>
      <w:rPr>
        <w:rStyle w:val="24"/>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3873810"/>
    <w:rsid w:val="45970787"/>
    <w:rsid w:val="68C95008"/>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eastAsia="Times New Roman"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1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0"/>
    <w:semiHidden/>
    <w:qFormat/>
    <w:uiPriority w:val="0"/>
    <w:pPr>
      <w:widowControl w:val="0"/>
      <w:autoSpaceDE w:val="0"/>
      <w:autoSpaceDN w:val="0"/>
      <w:adjustRightInd w:val="0"/>
    </w:pPr>
    <w:rPr>
      <w:sz w:val="0"/>
      <w:szCs w:val="0"/>
    </w:rPr>
  </w:style>
  <w:style w:type="paragraph" w:styleId="7">
    <w:name w:val="Body Text 2"/>
    <w:basedOn w:val="1"/>
    <w:qFormat/>
    <w:uiPriority w:val="0"/>
    <w:pPr>
      <w:spacing w:after="240"/>
      <w:ind w:firstLine="0"/>
    </w:pPr>
    <w:rPr>
      <w:sz w:val="28"/>
    </w:rPr>
  </w:style>
  <w:style w:type="paragraph" w:styleId="8">
    <w:name w:val="Plain Text"/>
    <w:basedOn w:val="1"/>
    <w:qFormat/>
    <w:uiPriority w:val="0"/>
    <w:pPr>
      <w:ind w:firstLine="0"/>
    </w:pPr>
    <w:rPr>
      <w:rFonts w:ascii="Courier New" w:hAnsi="Courier New"/>
      <w:sz w:val="20"/>
    </w:rPr>
  </w:style>
  <w:style w:type="paragraph" w:styleId="9">
    <w:name w:val="Body Text Indent 3"/>
    <w:basedOn w:val="1"/>
    <w:qFormat/>
    <w:uiPriority w:val="0"/>
    <w:pPr>
      <w:ind w:left="283"/>
    </w:pPr>
    <w:rPr>
      <w:sz w:val="16"/>
      <w:szCs w:val="16"/>
    </w:rPr>
  </w:style>
  <w:style w:type="paragraph" w:styleId="10">
    <w:name w:val="footnote text"/>
    <w:basedOn w:val="1"/>
    <w:link w:val="45"/>
    <w:semiHidden/>
    <w:qFormat/>
    <w:uiPriority w:val="0"/>
    <w:pPr>
      <w:ind w:firstLine="0"/>
    </w:pPr>
    <w:rPr>
      <w:sz w:val="20"/>
    </w:rPr>
  </w:style>
  <w:style w:type="paragraph" w:styleId="11">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2">
    <w:name w:val="Body Text"/>
    <w:basedOn w:val="1"/>
    <w:link w:val="35"/>
    <w:qFormat/>
    <w:uiPriority w:val="0"/>
  </w:style>
  <w:style w:type="paragraph" w:styleId="13">
    <w:name w:val="Body Text Indent"/>
    <w:basedOn w:val="1"/>
    <w:link w:val="34"/>
    <w:qFormat/>
    <w:uiPriority w:val="0"/>
    <w:pPr>
      <w:ind w:left="283" w:firstLine="0"/>
    </w:pPr>
  </w:style>
  <w:style w:type="paragraph" w:styleId="14">
    <w:name w:val="Title"/>
    <w:basedOn w:val="2"/>
    <w:link w:val="47"/>
    <w:qFormat/>
    <w:uiPriority w:val="0"/>
  </w:style>
  <w:style w:type="paragraph" w:styleId="15">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6">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7">
    <w:name w:val="Body Text 3"/>
    <w:basedOn w:val="1"/>
    <w:qFormat/>
    <w:uiPriority w:val="0"/>
    <w:rPr>
      <w:sz w:val="16"/>
      <w:szCs w:val="16"/>
    </w:rPr>
  </w:style>
  <w:style w:type="paragraph" w:styleId="18">
    <w:name w:val="Body Text Indent 2"/>
    <w:basedOn w:val="1"/>
    <w:link w:val="33"/>
    <w:qFormat/>
    <w:uiPriority w:val="0"/>
    <w:pPr>
      <w:ind w:left="283"/>
    </w:pPr>
  </w:style>
  <w:style w:type="character" w:styleId="20">
    <w:name w:val="FollowedHyperlink"/>
    <w:basedOn w:val="19"/>
    <w:qFormat/>
    <w:uiPriority w:val="0"/>
    <w:rPr>
      <w:color w:val="800080"/>
      <w:u w:val="single"/>
    </w:rPr>
  </w:style>
  <w:style w:type="character" w:styleId="21">
    <w:name w:val="footnote reference"/>
    <w:basedOn w:val="19"/>
    <w:semiHidden/>
    <w:qFormat/>
    <w:uiPriority w:val="0"/>
    <w:rPr>
      <w:vertAlign w:val="superscript"/>
    </w:rPr>
  </w:style>
  <w:style w:type="character" w:styleId="22">
    <w:name w:val="Emphasis"/>
    <w:basedOn w:val="19"/>
    <w:qFormat/>
    <w:uiPriority w:val="0"/>
    <w:rPr>
      <w:b/>
      <w:bCs/>
    </w:rPr>
  </w:style>
  <w:style w:type="character" w:styleId="23">
    <w:name w:val="Hyperlink"/>
    <w:basedOn w:val="19"/>
    <w:qFormat/>
    <w:uiPriority w:val="0"/>
    <w:rPr>
      <w:color w:val="0000FF"/>
      <w:u w:val="single"/>
    </w:rPr>
  </w:style>
  <w:style w:type="character" w:styleId="24">
    <w:name w:val="page number"/>
    <w:basedOn w:val="19"/>
    <w:qFormat/>
    <w:uiPriority w:val="0"/>
  </w:style>
  <w:style w:type="character" w:styleId="25">
    <w:name w:val="line number"/>
    <w:basedOn w:val="19"/>
    <w:semiHidden/>
    <w:unhideWhenUsed/>
    <w:qFormat/>
    <w:uiPriority w:val="99"/>
  </w:style>
  <w:style w:type="character" w:styleId="26">
    <w:name w:val="Strong"/>
    <w:basedOn w:val="19"/>
    <w:qFormat/>
    <w:uiPriority w:val="0"/>
    <w:rPr>
      <w:b/>
      <w:bCs/>
    </w:rPr>
  </w:style>
  <w:style w:type="table" w:styleId="28">
    <w:name w:val="Table Grid"/>
    <w:basedOn w:val="2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table" w:styleId="29">
    <w:name w:val="Light Shading"/>
    <w:basedOn w:val="2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0">
    <w:name w:val="Заголовок 2 Знак"/>
    <w:basedOn w:val="19"/>
    <w:link w:val="3"/>
    <w:qFormat/>
    <w:locked/>
    <w:uiPriority w:val="0"/>
    <w:rPr>
      <w:rFonts w:ascii="Times New Roman" w:hAnsi="Times New Roman" w:eastAsia="Times New Roman" w:cs="Cambria"/>
      <w:bCs/>
      <w:i/>
      <w:iCs/>
      <w:sz w:val="32"/>
      <w:szCs w:val="28"/>
    </w:rPr>
  </w:style>
  <w:style w:type="character" w:customStyle="1" w:styleId="31">
    <w:name w:val="Заголовок 1 Знак"/>
    <w:basedOn w:val="19"/>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19"/>
    <w:link w:val="18"/>
    <w:semiHidden/>
    <w:qFormat/>
    <w:uiPriority w:val="0"/>
    <w:rPr>
      <w:sz w:val="24"/>
      <w:lang w:val="ru-RU" w:eastAsia="ru-RU" w:bidi="ar-SA"/>
    </w:rPr>
  </w:style>
  <w:style w:type="character" w:customStyle="1" w:styleId="34">
    <w:name w:val="Основной текст с отступом Знак"/>
    <w:basedOn w:val="19"/>
    <w:link w:val="13"/>
    <w:semiHidden/>
    <w:qFormat/>
    <w:uiPriority w:val="0"/>
    <w:rPr>
      <w:sz w:val="24"/>
      <w:szCs w:val="24"/>
      <w:lang w:val="ru-RU" w:eastAsia="ru-RU" w:bidi="ar-SA"/>
    </w:rPr>
  </w:style>
  <w:style w:type="character" w:customStyle="1" w:styleId="35">
    <w:name w:val="Основной текст Знак"/>
    <w:basedOn w:val="19"/>
    <w:link w:val="12"/>
    <w:qFormat/>
    <w:uiPriority w:val="0"/>
    <w:rPr>
      <w:rFonts w:eastAsia="Times New Roman"/>
      <w:sz w:val="24"/>
      <w:szCs w:val="24"/>
    </w:rPr>
  </w:style>
  <w:style w:type="character" w:customStyle="1" w:styleId="36">
    <w:name w:val="Heading 2 Char"/>
    <w:basedOn w:val="19"/>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19"/>
    <w:link w:val="15"/>
    <w:qFormat/>
    <w:locked/>
    <w:uiPriority w:val="99"/>
    <w:rPr>
      <w:rFonts w:ascii="Courier New" w:hAnsi="Courier New" w:cs="Courier New"/>
      <w:sz w:val="24"/>
      <w:szCs w:val="24"/>
      <w:lang w:val="ru-RU" w:eastAsia="ru-RU" w:bidi="ar-SA"/>
    </w:rPr>
  </w:style>
  <w:style w:type="character" w:customStyle="1" w:styleId="38">
    <w:name w:val="Footer Char"/>
    <w:basedOn w:val="19"/>
    <w:semiHidden/>
    <w:qFormat/>
    <w:uiPriority w:val="0"/>
    <w:rPr>
      <w:rFonts w:ascii="Courier New" w:hAnsi="Courier New" w:cs="Courier New"/>
      <w:sz w:val="24"/>
      <w:szCs w:val="24"/>
    </w:rPr>
  </w:style>
  <w:style w:type="character" w:customStyle="1" w:styleId="39">
    <w:name w:val="Верхний колонтитул Знак"/>
    <w:basedOn w:val="19"/>
    <w:link w:val="11"/>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19"/>
    <w:link w:val="6"/>
    <w:semiHidden/>
    <w:qFormat/>
    <w:uiPriority w:val="0"/>
    <w:rPr>
      <w:sz w:val="0"/>
      <w:szCs w:val="0"/>
      <w:lang w:val="ru-RU" w:eastAsia="ru-RU" w:bidi="ar-SA"/>
    </w:rPr>
  </w:style>
  <w:style w:type="character" w:customStyle="1" w:styleId="41">
    <w:name w:val="Знак4"/>
    <w:basedOn w:val="19"/>
    <w:qFormat/>
    <w:locked/>
    <w:uiPriority w:val="0"/>
    <w:rPr>
      <w:sz w:val="28"/>
      <w:szCs w:val="28"/>
    </w:rPr>
  </w:style>
  <w:style w:type="character" w:customStyle="1" w:styleId="42">
    <w:name w:val="Знак3"/>
    <w:basedOn w:val="19"/>
    <w:qFormat/>
    <w:locked/>
    <w:uiPriority w:val="0"/>
    <w:rPr>
      <w:rFonts w:ascii="Courier New" w:hAnsi="Courier New" w:cs="Courier New"/>
      <w:sz w:val="24"/>
      <w:szCs w:val="24"/>
    </w:rPr>
  </w:style>
  <w:style w:type="character" w:customStyle="1" w:styleId="43">
    <w:name w:val="Знак2"/>
    <w:basedOn w:val="19"/>
    <w:semiHidden/>
    <w:qFormat/>
    <w:locked/>
    <w:uiPriority w:val="0"/>
    <w:rPr>
      <w:rFonts w:ascii="Courier New" w:hAnsi="Courier New" w:cs="Courier New"/>
      <w:sz w:val="24"/>
      <w:szCs w:val="24"/>
    </w:rPr>
  </w:style>
  <w:style w:type="character" w:customStyle="1" w:styleId="44">
    <w:name w:val="Знак9"/>
    <w:basedOn w:val="19"/>
    <w:qFormat/>
    <w:locked/>
    <w:uiPriority w:val="0"/>
    <w:rPr>
      <w:b/>
      <w:bCs/>
    </w:rPr>
  </w:style>
  <w:style w:type="character" w:customStyle="1" w:styleId="45">
    <w:name w:val="Текст сноски Знак"/>
    <w:basedOn w:val="19"/>
    <w:link w:val="10"/>
    <w:semiHidden/>
    <w:qFormat/>
    <w:locked/>
    <w:uiPriority w:val="0"/>
    <w:rPr>
      <w:lang w:val="ru-RU" w:eastAsia="ru-RU" w:bidi="ar-SA"/>
    </w:rPr>
  </w:style>
  <w:style w:type="character" w:customStyle="1" w:styleId="46">
    <w:name w:val="Footnote Text Char"/>
    <w:basedOn w:val="19"/>
    <w:semiHidden/>
    <w:qFormat/>
    <w:uiPriority w:val="0"/>
    <w:rPr>
      <w:rFonts w:ascii="Courier New" w:hAnsi="Courier New" w:cs="Courier New"/>
      <w:sz w:val="20"/>
      <w:szCs w:val="20"/>
    </w:rPr>
  </w:style>
  <w:style w:type="character" w:customStyle="1" w:styleId="47">
    <w:name w:val="Название Знак"/>
    <w:basedOn w:val="19"/>
    <w:link w:val="14"/>
    <w:qFormat/>
    <w:locked/>
    <w:uiPriority w:val="0"/>
    <w:rPr>
      <w:rFonts w:ascii="Arial" w:hAnsi="Arial" w:eastAsia="Times New Roman"/>
      <w:sz w:val="36"/>
    </w:rPr>
  </w:style>
  <w:style w:type="character" w:customStyle="1" w:styleId="48">
    <w:name w:val="Title Char"/>
    <w:basedOn w:val="19"/>
    <w:qFormat/>
    <w:uiPriority w:val="0"/>
    <w:rPr>
      <w:rFonts w:ascii="Cambria" w:hAnsi="Cambria" w:eastAsia="Times New Roman" w:cs="Times New Roman"/>
      <w:b/>
      <w:bCs/>
      <w:kern w:val="28"/>
      <w:sz w:val="32"/>
      <w:szCs w:val="32"/>
    </w:rPr>
  </w:style>
  <w:style w:type="character" w:customStyle="1" w:styleId="49">
    <w:name w:val="spelle"/>
    <w:basedOn w:val="19"/>
    <w:qFormat/>
    <w:uiPriority w:val="0"/>
  </w:style>
  <w:style w:type="character" w:customStyle="1" w:styleId="50">
    <w:name w:val="grame"/>
    <w:basedOn w:val="19"/>
    <w:qFormat/>
    <w:uiPriority w:val="0"/>
  </w:style>
  <w:style w:type="character" w:customStyle="1" w:styleId="51">
    <w:name w:val="ref-journal"/>
    <w:basedOn w:val="19"/>
    <w:qFormat/>
    <w:uiPriority w:val="0"/>
  </w:style>
  <w:style w:type="character" w:customStyle="1" w:styleId="52">
    <w:name w:val="ref-vol"/>
    <w:basedOn w:val="19"/>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8"/>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19"/>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 w:type="table" w:customStyle="1" w:styleId="94">
    <w:name w:val="_Style 12"/>
    <w:basedOn w:val="95"/>
    <w:qFormat/>
    <w:uiPriority w:val="0"/>
    <w:pPr>
      <w:spacing w:after="0" w:line="240" w:lineRule="auto"/>
    </w:pPr>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5">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13</TotalTime>
  <ScaleCrop>false</ScaleCrop>
  <LinksUpToDate>false</LinksUpToDate>
  <CharactersWithSpaces>3680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2020-09-24T16:35:00Z</dcterms:created>
  <dc:creator>Vadim Khaitov1,2, Julia Marchenko1, Marina Katolikova1,3, Risto Väinölä4, Sarah E. Kingston5,6, David B. Carlon5, Michael Gantsevich7, Petr Strelkov1,8</dc:creator>
  <cp:lastModifiedBy>polyd</cp:lastModifiedBy>
  <dcterms:modified xsi:type="dcterms:W3CDTF">2020-09-24T17:53:12Z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1049-11.2.0.9684</vt:lpwstr>
  </property>
</Properties>
</file>