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
          <w:lang w:val="en-US"/>
        </w:rPr>
      </w:pPr>
      <w:r>
        <w:rPr>
          <w:b/>
          <w:lang w:val="en-US"/>
        </w:rPr>
        <w:t>Materials and methods</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
          <w:i/>
          <w:lang w:val="en-US"/>
        </w:rPr>
      </w:pPr>
      <w:r>
        <w:rPr>
          <w:b/>
          <w:i/>
          <w:lang w:val="en-US"/>
        </w:rPr>
        <w:t>Study area and datasets</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Altogether, </w:t>
      </w:r>
      <w:r>
        <w:rPr>
          <w:highlight w:val="yellow"/>
          <w:lang w:val="en-US"/>
        </w:rPr>
        <w:t xml:space="preserve">58 </w:t>
      </w:r>
      <w:r>
        <w:rPr>
          <w:highlight w:val="yellow"/>
        </w:rPr>
        <w:t>без</w:t>
      </w:r>
      <w:r>
        <w:rPr>
          <w:highlight w:val="yellow"/>
          <w:lang w:val="en-US"/>
        </w:rPr>
        <w:t xml:space="preserve"> </w:t>
      </w:r>
      <w:r>
        <w:rPr>
          <w:highlight w:val="yellow"/>
        </w:rPr>
        <w:t>Америки</w:t>
      </w:r>
      <w:r>
        <w:rPr>
          <w:lang w:val="en-US"/>
        </w:rPr>
        <w:t xml:space="preserve"> samples were included in the analyses: 24 previously studied samples from Kandalaksha Bay of the White Sea (Katolikova et al., 2016, total sample size N=1100), 2 from Western Norway (Vainola, Strelkov, 2011, N=120), 4 from the entrance to the Baltic Sea (Strelkov et al., 2017, N=340) and new samples - 26 from the Barents Sea coast of Kola Peninsula (N=1650) and 2 sample from Loch Etive, Western Scotland (N=160). The material was collected in 1987?–2016. Samples were taken at the intertidal and subtidal zone, each sampling area was about 5 m</w:t>
      </w:r>
      <w:r>
        <w:rPr>
          <w:vertAlign w:val="superscript"/>
          <w:lang w:val="en-US"/>
        </w:rPr>
        <w:t xml:space="preserve">2 </w:t>
      </w:r>
      <w:r>
        <w:rPr>
          <w:lang w:val="en-US"/>
        </w:rPr>
        <w:t xml:space="preserve">(see ESM table 1 for details).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Samples from the Kola Peninsula coast were grouped into regional subsets based on the following considerations. The Kola Peninsula is washed by the Barents Sea and the White Sea. </w:t>
      </w:r>
      <w:r>
        <w:rPr>
          <w:i/>
          <w:lang w:val="en-US"/>
        </w:rPr>
        <w:t>M. edulis</w:t>
      </w:r>
      <w:r>
        <w:rPr>
          <w:lang w:val="en-US"/>
        </w:rPr>
        <w:t xml:space="preserve"> and </w:t>
      </w:r>
      <w:r>
        <w:rPr>
          <w:i/>
          <w:lang w:val="en-US"/>
        </w:rPr>
        <w:t>M. trossulus</w:t>
      </w:r>
      <w:r>
        <w:rPr>
          <w:lang w:val="en-US"/>
        </w:rPr>
        <w:t xml:space="preserve"> co-exist and hybridize in Kandalaksha Bay of the White Sea, Kola Bay in the Barents Sea and </w:t>
      </w:r>
      <w:r>
        <w:rPr>
          <w:highlight w:val="yellow"/>
          <w:lang w:val="en-US"/>
        </w:rPr>
        <w:t>few localities?</w:t>
      </w:r>
      <w:r>
        <w:rPr>
          <w:lang w:val="en-US"/>
        </w:rPr>
        <w:t xml:space="preserve"> along the Barents Sea open coast (REF). However, these water areas have different salinity ranges: salinity of surface water in Kandalaksha Bay of the White Sea is low (below 25‰, REF) while in the Barents Sea salinity reaches 34‰ (REF). Kola bay of the Barents Sea is characterized by variable salinity conditions: in the top of the bay salinity is low (as in the White Sea), but in the mouth of the bay salinity is high (above 25‰). </w:t>
      </w:r>
      <w:commentRangeStart w:id="0"/>
      <w:r>
        <w:rPr>
          <w:lang w:val="en-US"/>
        </w:rPr>
        <w:t>Salinity in sampling localities was either taken from literature (REF) or, in case of few open coast localities was predicted basing on the presence/absence of large rivers nearby (see ESM table 1 for details).</w:t>
      </w:r>
      <w:commentRangeEnd w:id="0"/>
      <w:r>
        <w:commentReference w:id="0"/>
      </w:r>
      <w:r>
        <w:rPr>
          <w:lang w:val="en-US"/>
        </w:rPr>
        <w:t xml:space="preserve"> And, conventionally, in our study we divided the habitats of mussels into low- and high saline.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rFonts w:hint="default"/>
          <w:highlight w:val="cyan"/>
          <w:lang w:val="en-US"/>
        </w:rPr>
      </w:pPr>
      <w:r>
        <w:rPr>
          <w:highlight w:val="cyan"/>
          <w:lang w:val="en-US"/>
        </w:rPr>
        <w:t xml:space="preserve">For the further staistical analysis we divided samples into two groups: modelling data set and testing data set.   </w:t>
      </w:r>
      <w:r>
        <w:rPr>
          <w:rFonts w:hint="default"/>
          <w:highlight w:val="cyan"/>
          <w:lang w:val="en-US"/>
        </w:rPr>
        <w:t>The testing data set included  6 samples from the Barents Sea open coast outer of Kola bay (3 samples from low-saline areas and 6 samples from high-saline areas) and 4 samples from the White Sea. The later were selected from total set of  White Sea samples as populations with  proportion of  M.trossulus close to conditionally chosen values 20, 40, 60 and 80%. All these samples were not used in any statistical analysis except of assessment of  the congruence between predictions of the regression models and the data observed in  testing data-set.</w:t>
      </w:r>
      <w:r>
        <w:rPr>
          <w:highlight w:val="cyan"/>
          <w:lang w:val="en-US"/>
        </w:rPr>
        <w:t xml:space="preserve">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highlight w:val="cyan"/>
          <w:lang w:val="en-US"/>
        </w:rPr>
      </w:pPr>
      <w:r>
        <w:rPr>
          <w:highlight w:val="cyan"/>
          <w:lang w:val="en-US"/>
        </w:rPr>
        <w:t xml:space="preserve">The modelling data set was used for most statistical analysis and consisted of  samples from the White Sea (20 populations, hereafter </w:t>
      </w:r>
      <w:r>
        <w:rPr>
          <w:rFonts w:hint="default"/>
          <w:highlight w:val="cyan"/>
          <w:lang w:val="en-US"/>
        </w:rPr>
        <w:t>“</w:t>
      </w:r>
      <w:r>
        <w:rPr>
          <w:highlight w:val="cyan"/>
          <w:lang w:val="en-US"/>
        </w:rPr>
        <w:t>W</w:t>
      </w:r>
      <w:r>
        <w:rPr>
          <w:rFonts w:hint="default"/>
          <w:highlight w:val="cyan"/>
          <w:lang w:val="en-US"/>
        </w:rPr>
        <w:t>”</w:t>
      </w:r>
      <w:r>
        <w:rPr>
          <w:highlight w:val="cyan"/>
          <w:lang w:val="en-US"/>
        </w:rPr>
        <w:t xml:space="preserve">-subset), from low-saline areas in the top of Kola Bay (9 populations, </w:t>
      </w:r>
      <w:r>
        <w:rPr>
          <w:rFonts w:hint="default"/>
          <w:highlight w:val="cyan"/>
          <w:lang w:val="en-US"/>
        </w:rPr>
        <w:t>“</w:t>
      </w:r>
      <w:r>
        <w:rPr>
          <w:highlight w:val="cyan"/>
          <w:lang w:val="en-US"/>
        </w:rPr>
        <w:t>BL</w:t>
      </w:r>
      <w:r>
        <w:rPr>
          <w:rFonts w:hint="default"/>
          <w:highlight w:val="cyan"/>
          <w:lang w:val="en-US"/>
        </w:rPr>
        <w:t>”</w:t>
      </w:r>
      <w:r>
        <w:rPr>
          <w:highlight w:val="cyan"/>
          <w:lang w:val="en-US"/>
        </w:rPr>
        <w:t xml:space="preserve">-subset) and samples from high-saline areas in the entrance of Kola Bay (8 populations, </w:t>
      </w:r>
      <w:r>
        <w:rPr>
          <w:rFonts w:hint="default"/>
          <w:highlight w:val="cyan"/>
          <w:lang w:val="en-US"/>
        </w:rPr>
        <w:t>“</w:t>
      </w:r>
      <w:r>
        <w:rPr>
          <w:highlight w:val="cyan"/>
          <w:lang w:val="en-US"/>
        </w:rPr>
        <w:t>BH</w:t>
      </w:r>
      <w:r>
        <w:rPr>
          <w:rFonts w:hint="default"/>
          <w:highlight w:val="cyan"/>
          <w:lang w:val="en-US"/>
        </w:rPr>
        <w:t>”</w:t>
      </w:r>
      <w:r>
        <w:rPr>
          <w:highlight w:val="cyan"/>
          <w:lang w:val="en-US"/>
        </w:rPr>
        <w:t xml:space="preserve">-subset)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highlight w:val="cyan"/>
          <w:lang w:val="en-US"/>
        </w:rPr>
        <w:t>European and American samples were considered as additional,</w:t>
      </w:r>
      <w:r>
        <w:rPr>
          <w:highlight w:val="cyan"/>
          <w:lang w:val="ru-RU"/>
        </w:rPr>
        <w:t xml:space="preserve"> </w:t>
      </w:r>
      <w:r>
        <w:rPr>
          <w:rFonts w:hint="default"/>
          <w:highlight w:val="cyan"/>
          <w:lang w:val="en-US"/>
        </w:rPr>
        <w:t>sighting data</w:t>
      </w:r>
      <w:r>
        <w:rPr>
          <w:highlight w:val="cyan"/>
          <w:lang w:val="ru-RU"/>
        </w:rPr>
        <w:t xml:space="preserve">  </w:t>
      </w:r>
      <w:commentRangeStart w:id="1"/>
      <w:r>
        <w:rPr>
          <w:strike/>
          <w:dstrike w:val="0"/>
          <w:highlight w:val="cyan"/>
          <w:lang w:val="en-US"/>
        </w:rPr>
        <w:t>geographical</w:t>
      </w:r>
      <w:commentRangeEnd w:id="1"/>
      <w:r>
        <w:commentReference w:id="1"/>
      </w:r>
      <w:r>
        <w:rPr>
          <w:strike/>
          <w:dstrike w:val="0"/>
          <w:highlight w:val="cyan"/>
          <w:lang w:val="en-US"/>
        </w:rPr>
        <w:t xml:space="preserve"> dataset</w:t>
      </w:r>
      <w:r>
        <w:rPr>
          <w:highlight w:val="cyan"/>
          <w:lang w:val="en-US"/>
        </w:rPr>
        <w:t xml:space="preserve">. </w:t>
      </w:r>
      <w:r>
        <w:rPr>
          <w:rFonts w:hint="default"/>
          <w:highlight w:val="cyan"/>
          <w:lang w:val="en-US"/>
        </w:rPr>
        <w:t>This data-set was used to assess the possibility of  morphological marker applyment  for identification M. edulis and M. trossulus in areas out of the Barents-White Seas hybrid zone.</w:t>
      </w:r>
      <w:r>
        <w:rPr>
          <w:lang w:val="en-US"/>
        </w:rPr>
        <w:t>#################</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b/>
          <w:i/>
          <w:lang w:val="en-US"/>
        </w:rPr>
      </w:pPr>
      <w:r>
        <w:rPr>
          <w:b/>
          <w:i/>
          <w:lang w:val="en-US"/>
        </w:rPr>
        <w:t>Species identification</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All individuals (N=3370) were genotyped using three or four taxonomically informative allozyme loci: Est-D, Gpi, Pgm, Odh. </w:t>
      </w:r>
      <w:r>
        <w:rPr>
          <w:highlight w:val="cyan"/>
          <w:lang w:val="en-US"/>
        </w:rPr>
        <w:t xml:space="preserve">Estimation of the contribution of </w:t>
      </w:r>
      <w:r>
        <w:rPr>
          <w:i/>
          <w:highlight w:val="cyan"/>
          <w:lang w:val="en-US"/>
        </w:rPr>
        <w:t>M. edulis</w:t>
      </w:r>
      <w:r>
        <w:rPr>
          <w:highlight w:val="cyan"/>
          <w:lang w:val="en-US"/>
        </w:rPr>
        <w:t xml:space="preserve"> and </w:t>
      </w:r>
      <w:r>
        <w:rPr>
          <w:i/>
          <w:highlight w:val="cyan"/>
          <w:lang w:val="en-US"/>
        </w:rPr>
        <w:t>M. trossulus</w:t>
      </w:r>
      <w:r>
        <w:rPr>
          <w:highlight w:val="cyan"/>
          <w:lang w:val="en-US"/>
        </w:rPr>
        <w:t xml:space="preserve"> genes into individual genotypes (q-values) was performed with STRUCTURE software </w:t>
      </w:r>
      <w:r>
        <w:rPr>
          <w:lang w:val="en-US"/>
        </w:rPr>
        <w:t xml:space="preserve">(REF, procedure of Bayesian STRUCTURE analysis as in Katolikova et al., 2016). </w:t>
      </w:r>
      <w:r>
        <w:rPr>
          <w:highlight w:val="cyan"/>
          <w:lang w:val="en-US"/>
        </w:rPr>
        <w:t xml:space="preserve">Using the q-values calculated all individuals were classified into two categories: mussels with genotypes dominated by </w:t>
      </w:r>
      <w:r>
        <w:rPr>
          <w:i/>
          <w:highlight w:val="cyan"/>
          <w:lang w:val="en-US"/>
        </w:rPr>
        <w:t>M. trossulus</w:t>
      </w:r>
      <w:r>
        <w:rPr>
          <w:highlight w:val="cyan"/>
          <w:lang w:val="en-US"/>
        </w:rPr>
        <w:t xml:space="preserve"> genes (q-value </w:t>
      </w:r>
      <w:r>
        <w:rPr>
          <w:rFonts w:cstheme="minorHAnsi"/>
          <w:highlight w:val="cyan"/>
          <w:lang w:val="en-US"/>
        </w:rPr>
        <w:t>&gt;</w:t>
      </w:r>
      <w:r>
        <w:rPr>
          <w:highlight w:val="cyan"/>
          <w:lang w:val="en-US"/>
        </w:rPr>
        <w:t xml:space="preserve"> 0.5, hereafter </w:t>
      </w:r>
      <w:r>
        <w:rPr>
          <w:i/>
          <w:highlight w:val="cyan"/>
          <w:lang w:val="en-US"/>
        </w:rPr>
        <w:t>M. trossulus</w:t>
      </w:r>
      <w:r>
        <w:rPr>
          <w:highlight w:val="cyan"/>
          <w:lang w:val="en-US"/>
        </w:rPr>
        <w:t xml:space="preserve">) and mussels with genotypes dominated by </w:t>
      </w:r>
      <w:r>
        <w:rPr>
          <w:i/>
          <w:highlight w:val="cyan"/>
          <w:lang w:val="en-US"/>
        </w:rPr>
        <w:t>M. edulis</w:t>
      </w:r>
      <w:r>
        <w:rPr>
          <w:highlight w:val="cyan"/>
          <w:lang w:val="en-US"/>
        </w:rPr>
        <w:t xml:space="preserve"> genes (q-value </w:t>
      </w:r>
      <w:r>
        <w:rPr>
          <w:rFonts w:cstheme="minorHAnsi"/>
          <w:highlight w:val="cyan"/>
          <w:lang w:val="en-US"/>
        </w:rPr>
        <w:t xml:space="preserve">≤ </w:t>
      </w:r>
      <w:r>
        <w:rPr>
          <w:highlight w:val="cyan"/>
          <w:lang w:val="en-US"/>
        </w:rPr>
        <w:t xml:space="preserve">0.5, hereafter </w:t>
      </w:r>
      <w:r>
        <w:rPr>
          <w:i/>
          <w:highlight w:val="cyan"/>
          <w:lang w:val="en-US"/>
        </w:rPr>
        <w:t>M. edulis</w:t>
      </w:r>
      <w:r>
        <w:rPr>
          <w:highlight w:val="cyan"/>
          <w:lang w:val="en-US"/>
        </w:rPr>
        <w:t>).</w:t>
      </w:r>
      <w:r>
        <w:rPr>
          <w:lang w:val="en-US"/>
        </w:rPr>
        <w:t xml:space="preserve"> Hence, potential hybrids were not considered as separate categories but included into </w:t>
      </w:r>
      <w:r>
        <w:rPr>
          <w:i/>
          <w:lang w:val="en-US"/>
        </w:rPr>
        <w:t>M. edulis</w:t>
      </w:r>
      <w:r>
        <w:rPr>
          <w:lang w:val="en-US"/>
        </w:rPr>
        <w:t xml:space="preserve"> and </w:t>
      </w:r>
      <w:r>
        <w:rPr>
          <w:i/>
          <w:lang w:val="en-US"/>
        </w:rPr>
        <w:t>M. trossulus</w:t>
      </w:r>
      <w:r>
        <w:rPr>
          <w:lang w:val="en-US"/>
        </w:rPr>
        <w:t>.</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r>
        <w:drawing>
          <wp:inline distT="0" distB="0" distL="0" distR="0">
            <wp:extent cx="5753100" cy="664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58641" cy="6656252"/>
                    </a:xfrm>
                    <a:prstGeom prst="rect">
                      <a:avLst/>
                    </a:prstGeom>
                    <a:noFill/>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r>
        <w:rPr>
          <w:b/>
          <w:lang w:val="en-US"/>
        </w:rPr>
        <w:t>Fig 1. Map of study area and sampling sites.</w:t>
      </w:r>
      <w:r>
        <w:rPr>
          <w:lang w:val="en-US"/>
        </w:rPr>
        <w:t xml:space="preserve"> A. Sampled areas in Europe: Scotland (S), the Baltic Sea (B), Norway (N). Location of the Kola Peninsula is indicated. B. The Kola Peninsula. Location of Kola Bay is indicated. Inserts depict sampled areas in the White Sea (C) and along the open Barents Sea coast (D). E. Kola Bay. Location of Tyuva Inlet is indicated. F. Tyuva Inlet. Pie diagrams depict proportions of T-morphotypes (black sector) and E-morphotypes (white sector) among </w:t>
      </w:r>
      <w:r>
        <w:rPr>
          <w:i/>
          <w:lang w:val="en-US"/>
        </w:rPr>
        <w:t>M. edulis</w:t>
      </w:r>
      <w:r>
        <w:rPr>
          <w:lang w:val="en-US"/>
        </w:rPr>
        <w:t xml:space="preserve"> (diagrams with blue borders) and </w:t>
      </w:r>
      <w:r>
        <w:rPr>
          <w:i/>
          <w:lang w:val="en-US"/>
        </w:rPr>
        <w:t>M. trossulus</w:t>
      </w:r>
      <w:r>
        <w:rPr>
          <w:lang w:val="en-US"/>
        </w:rPr>
        <w:t xml:space="preserve"> (with red borders) in regional subsets and geographical dataset. For the Barents Sea, data on low-saline and high-saline areas are presented separately, on the upper and bottom diagrams, correspondingly. Pins depict sampling sites in the Barents Sea. Detailed data are in ESM table 1.</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b/>
          <w:i/>
          <w:lang w:val="en-US"/>
        </w:rPr>
      </w:pPr>
      <w:r>
        <w:rPr>
          <w:b/>
          <w:i/>
          <w:lang w:val="en-US"/>
        </w:rPr>
        <w:t>Morphological marker identification</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r>
        <w:rPr>
          <w:rFonts w:hint="default"/>
          <w:highlight w:val="cyan"/>
          <w:lang w:val="en-US"/>
        </w:rPr>
        <w:t>The morphotype identification of the White Sea mussels was described in details in Katolikova et al., 2016, and was applied, as well, in Khaitov et al., 2018. Briefly, mussels represent two distinct forms: T-morphotype (mussel has underdeveolped nacre under the ligament nympha and dark strip of the prismatic layer could be recognised) and E-morphotype (mussel has well developed nacreous layer under ligment nympha and stripe of naked prismatic layer could not be recognised, see ESM Fig. 1 for detail</w:t>
      </w:r>
      <w:r>
        <w:rPr>
          <w:rFonts w:hint="default"/>
          <w:lang w:val="en-US"/>
        </w:rPr>
        <w:t>s</w:t>
      </w:r>
      <w:r>
        <w:rPr>
          <w:lang w:val="en-US"/>
        </w:rPr>
        <w:t xml:space="preserve"> </w:t>
      </w:r>
      <w:r>
        <w:rPr>
          <w:highlight w:val="yellow"/>
        </w:rPr>
        <w:t>это</w:t>
      </w:r>
      <w:r>
        <w:rPr>
          <w:highlight w:val="yellow"/>
          <w:lang w:val="en-US"/>
        </w:rPr>
        <w:t xml:space="preserve"> </w:t>
      </w:r>
      <w:r>
        <w:rPr>
          <w:highlight w:val="yellow"/>
        </w:rPr>
        <w:t>будут</w:t>
      </w:r>
      <w:r>
        <w:rPr>
          <w:highlight w:val="yellow"/>
          <w:lang w:val="en-US"/>
        </w:rPr>
        <w:t xml:space="preserve"> </w:t>
      </w:r>
      <w:r>
        <w:rPr>
          <w:highlight w:val="yellow"/>
        </w:rPr>
        <w:t>новые</w:t>
      </w:r>
      <w:r>
        <w:rPr>
          <w:highlight w:val="yellow"/>
          <w:lang w:val="en-US"/>
        </w:rPr>
        <w:t xml:space="preserve"> </w:t>
      </w:r>
      <w:r>
        <w:rPr>
          <w:highlight w:val="yellow"/>
        </w:rPr>
        <w:t>фотографии</w:t>
      </w:r>
      <w:r>
        <w:rPr>
          <w:lang w:val="en-US"/>
        </w:rPr>
        <w:t xml:space="preserve">).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b/>
          <w:i/>
          <w:lang w:val="en-US"/>
        </w:rPr>
      </w:pPr>
      <w:r>
        <w:rPr>
          <w:b/>
          <w:i/>
          <w:lang w:val="en-US"/>
        </w:rPr>
        <w:t>Data analyses</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i/>
          <w:lang w:val="en-US"/>
        </w:rPr>
      </w:pPr>
      <w:r>
        <w:rPr>
          <w:i/>
          <w:lang w:val="en-US"/>
        </w:rPr>
        <w:t>Descriptive values</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highlight w:val="cyan"/>
          <w:lang w:val="en-US"/>
        </w:rPr>
      </w:pPr>
      <w:r>
        <w:rPr>
          <w:lang w:val="en-US"/>
        </w:rPr>
        <w:t xml:space="preserve">Taking into account revealed morphological differences between species in the White Sea, we will use term </w:t>
      </w:r>
      <w:r>
        <w:rPr>
          <w:rFonts w:hint="default"/>
          <w:lang w:val="en-US"/>
        </w:rPr>
        <w:t>“</w:t>
      </w:r>
      <w:r>
        <w:rPr>
          <w:lang w:val="en-US"/>
        </w:rPr>
        <w:t>morphotype-test</w:t>
      </w:r>
      <w:r>
        <w:rPr>
          <w:rFonts w:hint="default"/>
          <w:lang w:val="en-US"/>
        </w:rPr>
        <w:t>”</w:t>
      </w:r>
      <w:r>
        <w:rPr>
          <w:lang w:val="en-US"/>
        </w:rPr>
        <w:t xml:space="preserve"> which implies T-morphotype corresponds to </w:t>
      </w:r>
      <w:r>
        <w:rPr>
          <w:i/>
          <w:lang w:val="en-US"/>
        </w:rPr>
        <w:t>M. trossulus</w:t>
      </w:r>
      <w:r>
        <w:rPr>
          <w:lang w:val="en-US"/>
        </w:rPr>
        <w:t xml:space="preserve"> and E-morphotype to </w:t>
      </w:r>
      <w:r>
        <w:rPr>
          <w:i/>
          <w:lang w:val="en-US"/>
        </w:rPr>
        <w:t>M. edulis</w:t>
      </w:r>
      <w:r>
        <w:rPr>
          <w:lang w:val="en-US"/>
        </w:rPr>
        <w:t xml:space="preserve">. Morphotype-test inherently is semi-diagnostic test, so we evaluate its results by comparision with genetically estimated reference results. </w:t>
      </w:r>
      <w:r>
        <w:rPr>
          <w:highlight w:val="cyan"/>
          <w:lang w:val="en-US"/>
        </w:rPr>
        <w:t xml:space="preserve">This approach is quite similar to the methodology of clinical practice where the presence of one or the other syndrome could be revealed by a set of indirect tests (REF).  That is why we use in our work some terminology borrowed from the medical practice the explanation of which is given in the Table ++. </w:t>
      </w:r>
      <w:r>
        <w:rPr>
          <w:lang w:val="en-US"/>
        </w:rPr>
        <w:t xml:space="preserve">  </w:t>
      </w:r>
      <w:r>
        <w:rPr>
          <w:rFonts w:hint="default"/>
          <w:highlight w:val="cyan"/>
          <w:lang w:val="en-US"/>
        </w:rPr>
        <w:t>Continuing the clinical analogousness we can accept that M. trossulus is a “sick” or “bad” mussel (a reasonable assumption taking into account it’s putative invasive nature in some of European seas and its postulated threat to aquaculture, REF), whereas M. edulis could be considered as "healthy" mussel.</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rFonts w:hint="default"/>
          <w:lang w:val="en-US"/>
        </w:rPr>
      </w:pPr>
      <w:r>
        <w:rPr>
          <w:lang w:val="en-US"/>
        </w:rPr>
        <w:t xml:space="preserve">Table +.  </w:t>
      </w:r>
      <w:r>
        <w:rPr>
          <w:rFonts w:hint="default"/>
          <w:lang w:val="en-US"/>
        </w:rPr>
        <w:t xml:space="preserve">Terms and values used in the analysis. </w:t>
      </w:r>
    </w:p>
    <w:tbl>
      <w:tblPr>
        <w:tblStyle w:val="6"/>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1891"/>
        <w:gridCol w:w="3385"/>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abbreviation</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formula</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description</w:t>
            </w:r>
          </w:p>
        </w:tc>
        <w:tc>
          <w:tcPr>
            <w:tcW w:w="2546"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9345" w:type="dxa"/>
            <w:gridSpan w:val="4"/>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population 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PT</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(a+c)/(a+b+c+d)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mussels with </w:t>
            </w:r>
            <w:r>
              <w:rPr>
                <w:lang w:val="en-US"/>
              </w:rPr>
              <w:br w:type="textWrapping"/>
            </w:r>
            <w:r>
              <w:rPr>
                <w:lang w:val="en-US"/>
              </w:rPr>
              <w:t>T-morphotype</w:t>
            </w:r>
          </w:p>
        </w:tc>
        <w:tc>
          <w:tcPr>
            <w:tcW w:w="2546"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highlight w:val="yellow"/>
                <w:lang w:val="en-US"/>
              </w:rPr>
              <w:t>morphotype proportion in population?</w:t>
            </w:r>
            <w:r>
              <w:rPr>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Ptros</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(a+b)/(a+b+c+d)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w:t>
            </w:r>
            <w:r>
              <w:rPr>
                <w:i/>
                <w:lang w:val="en-US"/>
              </w:rPr>
              <w:t>M. trossulus</w:t>
            </w:r>
          </w:p>
        </w:tc>
        <w:tc>
          <w:tcPr>
            <w:tcW w:w="2546"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taxonomic structure of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9345" w:type="dxa"/>
            <w:gridSpan w:val="4"/>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perfomance mesaures of morphotype-test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P(T|tros)</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p>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a/(a+b)</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mussels with </w:t>
            </w:r>
            <w:r>
              <w:rPr>
                <w:lang w:val="en-US"/>
              </w:rPr>
              <w:br w:type="textWrapping"/>
            </w:r>
            <w:r>
              <w:rPr>
                <w:lang w:val="en-US"/>
              </w:rPr>
              <w:t xml:space="preserve">T-morphotype among </w:t>
            </w:r>
            <w:r>
              <w:rPr>
                <w:i/>
                <w:lang w:val="en-US"/>
              </w:rPr>
              <w:t>M. trossulus</w:t>
            </w:r>
          </w:p>
        </w:tc>
        <w:tc>
          <w:tcPr>
            <w:tcW w:w="2546" w:type="dxa"/>
            <w:vMerge w:val="restart"/>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the ability of morphotype-test to correctly identify </w:t>
            </w:r>
            <w:r>
              <w:rPr>
                <w:i/>
                <w:lang w:val="en-US"/>
              </w:rPr>
              <w:t>M. trossulus</w:t>
            </w:r>
            <w:r>
              <w:rPr>
                <w:lang w:val="en-US"/>
              </w:rPr>
              <w:t xml:space="preserve"> or </w:t>
            </w:r>
            <w:r>
              <w:rPr>
                <w:lang w:val="en-US"/>
              </w:rPr>
              <w:br w:type="textWrapping"/>
            </w:r>
            <w:r>
              <w:rPr>
                <w:i/>
                <w:lang w:val="en-US"/>
              </w:rPr>
              <w:t>M. edulis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P(E|edu)</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d/(с+d)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mussels with </w:t>
            </w:r>
            <w:r>
              <w:rPr>
                <w:lang w:val="en-US"/>
              </w:rPr>
              <w:br w:type="textWrapping"/>
            </w:r>
            <w:r>
              <w:rPr>
                <w:lang w:val="en-US"/>
              </w:rPr>
              <w:t xml:space="preserve">E-morphotype among </w:t>
            </w:r>
            <w:r>
              <w:rPr>
                <w:i/>
                <w:lang w:val="en-US"/>
              </w:rPr>
              <w:t>M. edulis</w:t>
            </w:r>
          </w:p>
        </w:tc>
        <w:tc>
          <w:tcPr>
            <w:tcW w:w="2546" w:type="dxa"/>
            <w:vMerge w:val="continue"/>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w:t>
            </w:r>
            <w:r>
              <w:rPr>
                <w:b/>
                <w:vertAlign w:val="subscript"/>
                <w:lang w:val="en-US"/>
              </w:rPr>
              <w:t>correct</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(a+d)/(a+b+c+d)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Joint proportion of </w:t>
            </w:r>
            <w:r>
              <w:rPr>
                <w:i/>
                <w:lang w:val="en-US"/>
              </w:rPr>
              <w:t>M. trossulus</w:t>
            </w:r>
            <w:r>
              <w:rPr>
                <w:lang w:val="en-US"/>
              </w:rPr>
              <w:t xml:space="preserve"> with T-morphotype and </w:t>
            </w:r>
            <w:r>
              <w:rPr>
                <w:i/>
                <w:lang w:val="en-US"/>
              </w:rPr>
              <w:t>M. edulis</w:t>
            </w:r>
            <w:r>
              <w:rPr>
                <w:lang w:val="en-US"/>
              </w:rPr>
              <w:t xml:space="preserve"> with E-morphotype</w:t>
            </w:r>
          </w:p>
        </w:tc>
        <w:tc>
          <w:tcPr>
            <w:tcW w:w="2546" w:type="dxa"/>
            <w:vMerge w:val="restart"/>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the ability of morphotype-test to correctly identify </w:t>
            </w:r>
            <w:r>
              <w:rPr>
                <w:i/>
                <w:lang w:val="en-US"/>
              </w:rPr>
              <w:t>M. trossulus</w:t>
            </w:r>
            <w:r>
              <w:rPr>
                <w:lang w:val="en-US"/>
              </w:rPr>
              <w:t xml:space="preserve"> among </w:t>
            </w:r>
            <w:r>
              <w:rPr>
                <w:lang w:val="en-US"/>
              </w:rPr>
              <w:br w:type="textWrapping"/>
            </w:r>
            <w:r>
              <w:rPr>
                <w:lang w:val="en-US"/>
              </w:rPr>
              <w:t xml:space="preserve">T-morphotype and </w:t>
            </w:r>
            <w:r>
              <w:rPr>
                <w:i/>
                <w:lang w:val="en-US"/>
              </w:rPr>
              <w:t>M. edulis</w:t>
            </w:r>
            <w:r>
              <w:rPr>
                <w:lang w:val="en-US"/>
              </w:rPr>
              <w:t xml:space="preserve"> among </w:t>
            </w:r>
            <w:r>
              <w:rPr>
                <w:lang w:val="en-US"/>
              </w:rPr>
              <w:br w:type="textWrapping"/>
            </w:r>
            <w:r>
              <w:rPr>
                <w:lang w:val="en-US"/>
              </w:rPr>
              <w:t>E-morphotype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P(tros|T)</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a/(a+c)</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w:t>
            </w:r>
            <w:r>
              <w:rPr>
                <w:i/>
                <w:lang w:val="en-US"/>
              </w:rPr>
              <w:t>M. trossulus</w:t>
            </w:r>
            <w:r>
              <w:rPr>
                <w:lang w:val="en-US"/>
              </w:rPr>
              <w:t xml:space="preserve"> among mussels with </w:t>
            </w:r>
            <w:r>
              <w:rPr>
                <w:lang w:val="en-US"/>
              </w:rPr>
              <w:br w:type="textWrapping"/>
            </w:r>
            <w:r>
              <w:rPr>
                <w:lang w:val="en-US"/>
              </w:rPr>
              <w:t>T-morphotype</w:t>
            </w:r>
          </w:p>
        </w:tc>
        <w:tc>
          <w:tcPr>
            <w:tcW w:w="2546" w:type="dxa"/>
            <w:vMerge w:val="continue"/>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P(edu|E)</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d/(b+d)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w:t>
            </w:r>
            <w:r>
              <w:rPr>
                <w:i/>
                <w:lang w:val="en-US"/>
              </w:rPr>
              <w:t>M. edulis</w:t>
            </w:r>
            <w:r>
              <w:rPr>
                <w:lang w:val="en-US"/>
              </w:rPr>
              <w:t xml:space="preserve"> among mussels with E-morphotype</w:t>
            </w:r>
          </w:p>
        </w:tc>
        <w:tc>
          <w:tcPr>
            <w:tcW w:w="2546" w:type="dxa"/>
            <w:vMerge w:val="continue"/>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tc>
      </w:tr>
    </w:tbl>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lang w:val="en-US"/>
        </w:rPr>
      </w:pPr>
      <w:r>
        <w:rPr>
          <w:rFonts w:hint="default"/>
          <w:lang w:val="en-US"/>
        </w:rPr>
        <w:t xml:space="preserve">Denotes: a - number of M. trossulus with T-morphotype in a certain population, b -  M. trossulus with E-morphotype, c – of M. edulis with T-morphotype, d – of M. edulis with E-morphotype. </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lang w:val="en-US"/>
        </w:rPr>
      </w:pPr>
      <w:r>
        <w:rPr>
          <w:rFonts w:hint="default"/>
          <w:lang w:val="en-US"/>
        </w:rPr>
        <w:t xml:space="preserve"> </w:t>
      </w:r>
      <w:commentRangeStart w:id="2"/>
      <w:r>
        <w:rPr>
          <w:rFonts w:hint="default"/>
          <w:lang w:val="en-US"/>
        </w:rPr>
        <w:t>The values mentioned have the properties as follow</w:t>
      </w:r>
      <w:r>
        <w:rPr>
          <w:lang w:val="en-US"/>
        </w:rPr>
        <w:t xml:space="preserve">: </w:t>
      </w:r>
      <w:r>
        <w:rPr>
          <w:b/>
          <w:lang w:val="en-US"/>
        </w:rPr>
        <w:t>Ptros</w:t>
      </w:r>
      <w:r>
        <w:rPr>
          <w:lang w:val="en-US"/>
        </w:rPr>
        <w:t xml:space="preserve"> is  </w:t>
      </w:r>
      <w:r>
        <w:rPr>
          <w:b/>
          <w:lang w:val="en-US"/>
        </w:rPr>
        <w:t xml:space="preserve">prevalence </w:t>
      </w:r>
      <w:r>
        <w:rPr>
          <w:lang w:val="en-US"/>
        </w:rPr>
        <w:t xml:space="preserve">. </w:t>
      </w:r>
      <w:r>
        <w:rPr>
          <w:b/>
          <w:lang w:val="en-US"/>
        </w:rPr>
        <w:t>P(T|tros)</w:t>
      </w:r>
      <w:r>
        <w:rPr>
          <w:lang w:val="en-US"/>
        </w:rPr>
        <w:t xml:space="preserve"> and </w:t>
      </w:r>
      <w:r>
        <w:rPr>
          <w:b/>
          <w:lang w:val="en-US"/>
        </w:rPr>
        <w:t>P(</w:t>
      </w:r>
      <w:r>
        <w:rPr>
          <w:b/>
        </w:rPr>
        <w:t>Е</w:t>
      </w:r>
      <w:r>
        <w:rPr>
          <w:b/>
          <w:lang w:val="en-US"/>
        </w:rPr>
        <w:t xml:space="preserve">|edu) </w:t>
      </w:r>
      <w:r>
        <w:rPr>
          <w:lang w:val="en-US"/>
        </w:rPr>
        <w:t xml:space="preserve">are named </w:t>
      </w:r>
      <w:r>
        <w:rPr>
          <w:b/>
          <w:lang w:val="en-US"/>
        </w:rPr>
        <w:t>sensitivity</w:t>
      </w:r>
      <w:r>
        <w:rPr>
          <w:lang w:val="en-US"/>
        </w:rPr>
        <w:t xml:space="preserve"> and </w:t>
      </w:r>
      <w:r>
        <w:rPr>
          <w:b/>
          <w:lang w:val="en-US"/>
        </w:rPr>
        <w:t>specificity</w:t>
      </w:r>
      <w:r>
        <w:rPr>
          <w:lang w:val="en-US"/>
        </w:rPr>
        <w:t xml:space="preserve">, </w:t>
      </w:r>
      <w:r>
        <w:rPr>
          <w:b/>
          <w:lang w:val="en-US"/>
        </w:rPr>
        <w:t>P(tros|T)</w:t>
      </w:r>
      <w:r>
        <w:rPr>
          <w:lang w:val="en-US"/>
        </w:rPr>
        <w:t xml:space="preserve"> and </w:t>
      </w:r>
      <w:r>
        <w:rPr>
          <w:b/>
          <w:lang w:val="en-US"/>
        </w:rPr>
        <w:t>P(edu|E)</w:t>
      </w:r>
      <w:r>
        <w:rPr>
          <w:lang w:val="en-US"/>
        </w:rPr>
        <w:t xml:space="preserve"> are named </w:t>
      </w:r>
      <w:r>
        <w:rPr>
          <w:b/>
          <w:lang w:val="en-US"/>
        </w:rPr>
        <w:t xml:space="preserve">positive predictive value (PPV) </w:t>
      </w:r>
      <w:r>
        <w:rPr>
          <w:lang w:val="en-US"/>
        </w:rPr>
        <w:t xml:space="preserve">and </w:t>
      </w:r>
      <w:r>
        <w:rPr>
          <w:b/>
          <w:lang w:val="en-US"/>
        </w:rPr>
        <w:t>negative predictive value (NPV), P</w:t>
      </w:r>
      <w:r>
        <w:rPr>
          <w:b/>
          <w:vertAlign w:val="subscript"/>
          <w:lang w:val="en-US"/>
        </w:rPr>
        <w:t>correct</w:t>
      </w:r>
      <w:r>
        <w:rPr>
          <w:lang w:val="en-US"/>
        </w:rPr>
        <w:t xml:space="preserve"> is named </w:t>
      </w:r>
      <w:r>
        <w:rPr>
          <w:b/>
          <w:lang w:val="en-US"/>
        </w:rPr>
        <w:t>accuracy</w:t>
      </w:r>
      <w:commentRangeEnd w:id="2"/>
      <w:r>
        <w:commentReference w:id="2"/>
      </w:r>
      <w:r>
        <w:rPr>
          <w:lang w:val="en-US"/>
        </w:rPr>
        <w:t xml:space="preserve">. </w:t>
      </w:r>
      <w:r>
        <w:rPr>
          <w:highlight w:val="yellow"/>
        </w:rPr>
        <w:t>Ниже</w:t>
      </w:r>
      <w:r>
        <w:rPr>
          <w:highlight w:val="yellow"/>
          <w:lang w:val="en-US"/>
        </w:rPr>
        <w:t xml:space="preserve"> </w:t>
      </w:r>
      <w:r>
        <w:rPr>
          <w:highlight w:val="yellow"/>
        </w:rPr>
        <w:t>по</w:t>
      </w:r>
      <w:r>
        <w:rPr>
          <w:highlight w:val="yellow"/>
          <w:lang w:val="en-US"/>
        </w:rPr>
        <w:t xml:space="preserve"> </w:t>
      </w:r>
      <w:r>
        <w:rPr>
          <w:highlight w:val="yellow"/>
        </w:rPr>
        <w:t>тексту</w:t>
      </w:r>
      <w:r>
        <w:rPr>
          <w:highlight w:val="yellow"/>
          <w:lang w:val="en-US"/>
        </w:rPr>
        <w:t xml:space="preserve"> </w:t>
      </w:r>
      <w:r>
        <w:rPr>
          <w:highlight w:val="yellow"/>
        </w:rPr>
        <w:t>я</w:t>
      </w:r>
      <w:r>
        <w:rPr>
          <w:highlight w:val="yellow"/>
          <w:lang w:val="en-US"/>
        </w:rPr>
        <w:t xml:space="preserve"> </w:t>
      </w:r>
      <w:r>
        <w:rPr>
          <w:highlight w:val="yellow"/>
        </w:rPr>
        <w:t>пишу</w:t>
      </w:r>
      <w:r>
        <w:rPr>
          <w:highlight w:val="yellow"/>
          <w:lang w:val="en-US"/>
        </w:rPr>
        <w:t xml:space="preserve"> Ptros, a </w:t>
      </w:r>
      <w:r>
        <w:rPr>
          <w:highlight w:val="yellow"/>
        </w:rPr>
        <w:t>не</w:t>
      </w:r>
      <w:r>
        <w:rPr>
          <w:highlight w:val="yellow"/>
          <w:lang w:val="en-US"/>
        </w:rPr>
        <w:t xml:space="preserve"> prevalence</w:t>
      </w:r>
    </w:p>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i/>
          <w:lang w:val="en-US"/>
        </w:rPr>
      </w:pPr>
      <w:r>
        <w:rPr>
          <w:i/>
          <w:lang w:val="en-US"/>
        </w:rPr>
        <w:t>Statistical analysis of modelling dataset</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highlight w:val="cyan"/>
          <w:lang w:val="en-US"/>
        </w:rPr>
      </w:pPr>
      <w:r>
        <w:rPr>
          <w:highlight w:val="cyan"/>
          <w:lang w:val="en-US"/>
        </w:rPr>
        <w:t>All analyses were performed with functions of R statistic programming language (REF).    We constructed four generalized linear models (GLM, but in some cases mixed effect models, GLMM, with binomial distribution and logit link-function) on the base of the modelling dataset. For each analysis we first constructed the full models (included all predictors and their interactions) and after they were simplified accordingly to stepwise backward model selection protocol (REF). The model with lowest Akaike information criterion (AIC) was considered as the final one. The function drop1() from the package “stats” was used for the model simplification. The validity of the final models was visually checked by analysis of residual plots and test for overdispersion. The goodness of fit for the final models was assessed by the means of pseudo-R2 (REF) using the function r.squaredGLMM() from the package “MuMIn” (REF).</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r>
        <w:rPr>
          <w:i/>
          <w:highlight w:val="cyan"/>
          <w:lang w:val="en-US"/>
        </w:rPr>
        <w:t>GLM-Model 1: Morphotype proportions as function of taxonomic structure of populations.</w:t>
      </w:r>
      <w:r>
        <w:rPr>
          <w:highlight w:val="cyan"/>
          <w:lang w:val="en-US"/>
        </w:rPr>
        <w:t xml:space="preserve"> </w:t>
      </w:r>
      <w:r>
        <w:rPr>
          <w:iCs/>
          <w:highlight w:val="cyan"/>
          <w:lang w:val="en-US"/>
        </w:rPr>
        <w:t xml:space="preserve">All mussels from modelling dataset possessing T-morphotype were coded as 1 and those one with E-morphotype as 0. This data were used as a dependent variable which was regressed against </w:t>
      </w:r>
      <w:r>
        <w:rPr>
          <w:b/>
          <w:bCs/>
          <w:iCs/>
          <w:highlight w:val="cyan"/>
          <w:lang w:val="en-US"/>
        </w:rPr>
        <w:t>Ptr</w:t>
      </w:r>
      <w:r>
        <w:rPr>
          <w:b/>
          <w:bCs/>
          <w:iCs/>
          <w:lang w:val="en-US"/>
        </w:rPr>
        <w:t>os</w:t>
      </w:r>
      <w:r>
        <w:rPr>
          <w:iCs/>
          <w:lang w:val="en-US"/>
        </w:rPr>
        <w:t xml:space="preserve"> </w:t>
      </w:r>
      <w:r>
        <w:rPr>
          <w:iCs/>
          <w:highlight w:val="cyan"/>
          <w:lang w:val="en-US"/>
        </w:rPr>
        <w:t xml:space="preserve">(continuous predictor) and </w:t>
      </w:r>
      <w:r>
        <w:rPr>
          <w:b/>
          <w:bCs/>
          <w:iCs/>
          <w:highlight w:val="cyan"/>
          <w:lang w:val="en-US"/>
        </w:rPr>
        <w:t xml:space="preserve">Subset </w:t>
      </w:r>
      <w:r>
        <w:rPr>
          <w:iCs/>
          <w:highlight w:val="cyan"/>
          <w:lang w:val="en-US"/>
        </w:rPr>
        <w:t xml:space="preserve">(discrete predictor with three levels) and interaction between them.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r>
        <w:rPr>
          <w:i/>
          <w:iCs/>
          <w:highlight w:val="cyan"/>
          <w:lang w:val="en-US"/>
        </w:rPr>
        <w:t>GLM-Model 2:</w:t>
      </w:r>
      <w:r>
        <w:rPr>
          <w:iCs/>
          <w:highlight w:val="cyan"/>
          <w:lang w:val="en-US"/>
        </w:rPr>
        <w:t xml:space="preserve"> </w:t>
      </w:r>
      <w:r>
        <w:rPr>
          <w:i/>
          <w:iCs/>
          <w:highlight w:val="cyan"/>
          <w:lang w:val="en-US"/>
        </w:rPr>
        <w:t xml:space="preserve">Morphotype proportions among species as a function of taxonomic structure of populations. </w:t>
      </w:r>
      <w:r>
        <w:rPr>
          <w:iCs/>
          <w:highlight w:val="cyan"/>
          <w:lang w:val="en-US"/>
        </w:rPr>
        <w:t>The dependent variable was coded</w:t>
      </w:r>
      <w:r>
        <w:rPr>
          <w:i/>
          <w:iCs/>
          <w:highlight w:val="cyan"/>
          <w:lang w:val="en-US"/>
        </w:rPr>
        <w:t xml:space="preserve"> </w:t>
      </w:r>
      <w:r>
        <w:rPr>
          <w:highlight w:val="cyan"/>
          <w:lang w:val="en-US"/>
        </w:rPr>
        <w:t xml:space="preserve">analogously to </w:t>
      </w:r>
      <w:r>
        <w:rPr>
          <w:i/>
          <w:highlight w:val="cyan"/>
          <w:lang w:val="en-US"/>
        </w:rPr>
        <w:t>Model 1</w:t>
      </w:r>
      <w:r>
        <w:rPr>
          <w:highlight w:val="cyan"/>
          <w:lang w:val="en-US"/>
        </w:rPr>
        <w:t xml:space="preserve"> described above and was modelled as function of </w:t>
      </w:r>
      <w:r>
        <w:rPr>
          <w:b/>
          <w:bCs/>
          <w:iCs/>
          <w:highlight w:val="cyan"/>
          <w:lang w:val="en-US"/>
        </w:rPr>
        <w:t>Ptros</w:t>
      </w:r>
      <w:r>
        <w:rPr>
          <w:iCs/>
          <w:highlight w:val="cyan"/>
          <w:lang w:val="en-US"/>
        </w:rPr>
        <w:t xml:space="preserve">, </w:t>
      </w:r>
      <w:r>
        <w:rPr>
          <w:b/>
          <w:bCs/>
          <w:iCs/>
          <w:highlight w:val="cyan"/>
          <w:lang w:val="en-US"/>
        </w:rPr>
        <w:t xml:space="preserve">Subset </w:t>
      </w:r>
      <w:r>
        <w:rPr>
          <w:b w:val="0"/>
          <w:bCs w:val="0"/>
          <w:iCs/>
          <w:highlight w:val="cyan"/>
          <w:lang w:val="en-US"/>
        </w:rPr>
        <w:t xml:space="preserve">and </w:t>
      </w:r>
      <w:r>
        <w:rPr>
          <w:iCs/>
          <w:highlight w:val="cyan"/>
          <w:lang w:val="en-US"/>
        </w:rPr>
        <w:t xml:space="preserve"> </w:t>
      </w:r>
      <w:r>
        <w:rPr>
          <w:b/>
          <w:bCs/>
          <w:iCs/>
          <w:highlight w:val="cyan"/>
          <w:lang w:val="en-US"/>
        </w:rPr>
        <w:t>Species</w:t>
      </w:r>
      <w:r>
        <w:rPr>
          <w:iCs/>
          <w:highlight w:val="cyan"/>
          <w:lang w:val="en-US"/>
        </w:rPr>
        <w:t xml:space="preserve">? (discrete predictor with two levels) and interaction between terms. </w:t>
      </w:r>
      <w:r>
        <w:rPr>
          <w:b/>
          <w:iCs/>
          <w:highlight w:val="cyan"/>
          <w:lang w:val="en-US"/>
        </w:rPr>
        <w:t>Samples</w:t>
      </w:r>
      <w:r>
        <w:rPr>
          <w:iCs/>
          <w:highlight w:val="cyan"/>
          <w:lang w:val="en-US"/>
        </w:rPr>
        <w:t xml:space="preserve"> was included into the model as random factor.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highlight w:val="cyan"/>
          <w:lang w:val="en-US"/>
        </w:rPr>
      </w:pPr>
      <w:r>
        <w:rPr>
          <w:i/>
          <w:iCs/>
          <w:highlight w:val="cyan"/>
          <w:lang w:val="en-US"/>
        </w:rPr>
        <w:t>GLM-Model 3:</w:t>
      </w:r>
      <w:r>
        <w:rPr>
          <w:iCs/>
          <w:highlight w:val="cyan"/>
          <w:lang w:val="en-US"/>
        </w:rPr>
        <w:t xml:space="preserve"> </w:t>
      </w:r>
      <w:r>
        <w:rPr>
          <w:i/>
          <w:iCs/>
          <w:highlight w:val="cyan"/>
          <w:lang w:val="en-US"/>
        </w:rPr>
        <w:t xml:space="preserve">Accuracy of morphotype-test as a function of taxonomic structure of populations. </w:t>
      </w:r>
      <w:r>
        <w:rPr>
          <w:iCs/>
          <w:highlight w:val="cyan"/>
          <w:lang w:val="en-US"/>
        </w:rPr>
        <w:t>The dependent variable was coded as 1</w:t>
      </w:r>
      <w:r>
        <w:rPr>
          <w:i/>
          <w:iCs/>
          <w:highlight w:val="cyan"/>
          <w:lang w:val="en-US"/>
        </w:rPr>
        <w:t xml:space="preserve"> </w:t>
      </w:r>
      <w:r>
        <w:rPr>
          <w:iCs/>
          <w:highlight w:val="cyan"/>
          <w:lang w:val="en-US"/>
        </w:rPr>
        <w:t xml:space="preserve">(mussels with T-morphotype correctly identified as </w:t>
      </w:r>
      <w:r>
        <w:rPr>
          <w:i/>
          <w:iCs/>
          <w:highlight w:val="cyan"/>
          <w:lang w:val="en-US"/>
        </w:rPr>
        <w:t>M. trossulus</w:t>
      </w:r>
      <w:r>
        <w:rPr>
          <w:iCs/>
          <w:highlight w:val="cyan"/>
          <w:lang w:val="en-US"/>
        </w:rPr>
        <w:t xml:space="preserve"> and mussels with E-morphotype correctly identified as </w:t>
      </w:r>
      <w:r>
        <w:rPr>
          <w:i/>
          <w:iCs/>
          <w:highlight w:val="cyan"/>
          <w:lang w:val="en-US"/>
        </w:rPr>
        <w:t>M. edulis)</w:t>
      </w:r>
      <w:r>
        <w:rPr>
          <w:iCs/>
          <w:highlight w:val="cyan"/>
          <w:lang w:val="en-US"/>
        </w:rPr>
        <w:t xml:space="preserve"> and as 0 (an all other cases). The dependent variable was </w:t>
      </w:r>
      <w:r>
        <w:rPr>
          <w:highlight w:val="cyan"/>
          <w:lang w:val="en-US"/>
        </w:rPr>
        <w:t xml:space="preserve">modelled as a function of </w:t>
      </w:r>
      <w:r>
        <w:rPr>
          <w:b/>
          <w:highlight w:val="cyan"/>
          <w:lang w:val="en-US"/>
        </w:rPr>
        <w:t>Ptros</w:t>
      </w:r>
      <w:r>
        <w:rPr>
          <w:highlight w:val="cyan"/>
          <w:lang w:val="en-US"/>
        </w:rPr>
        <w:t xml:space="preserve">, </w:t>
      </w:r>
      <w:r>
        <w:rPr>
          <w:b/>
          <w:highlight w:val="cyan"/>
          <w:lang w:val="en-US"/>
        </w:rPr>
        <w:t xml:space="preserve">Subset </w:t>
      </w:r>
      <w:r>
        <w:rPr>
          <w:highlight w:val="cyan"/>
          <w:lang w:val="en-US"/>
        </w:rPr>
        <w:t xml:space="preserve"> and interaction between the terms.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r>
        <w:rPr>
          <w:i/>
          <w:highlight w:val="cyan"/>
          <w:lang w:val="en-US"/>
        </w:rPr>
        <w:t>GLMM-Model 4:</w:t>
      </w:r>
      <w:r>
        <w:rPr>
          <w:highlight w:val="cyan"/>
          <w:lang w:val="en-US"/>
        </w:rPr>
        <w:t xml:space="preserve"> C</w:t>
      </w:r>
      <w:r>
        <w:rPr>
          <w:i/>
          <w:iCs/>
          <w:highlight w:val="cyan"/>
          <w:lang w:val="en-US"/>
        </w:rPr>
        <w:t>orrectness of species identification as a function of taxonomic structure of populations</w:t>
      </w:r>
      <w:r>
        <w:rPr>
          <w:iCs/>
          <w:highlight w:val="cyan"/>
          <w:lang w:val="en-US"/>
        </w:rPr>
        <w:t>. The dependent variable was coded</w:t>
      </w:r>
      <w:r>
        <w:rPr>
          <w:i/>
          <w:iCs/>
          <w:highlight w:val="cyan"/>
          <w:lang w:val="en-US"/>
        </w:rPr>
        <w:t xml:space="preserve"> </w:t>
      </w:r>
      <w:r>
        <w:rPr>
          <w:highlight w:val="cyan"/>
          <w:lang w:val="en-US"/>
        </w:rPr>
        <w:t xml:space="preserve">analogously to </w:t>
      </w:r>
      <w:r>
        <w:rPr>
          <w:i/>
          <w:highlight w:val="cyan"/>
          <w:lang w:val="en-US"/>
        </w:rPr>
        <w:t>Model 3</w:t>
      </w:r>
      <w:r>
        <w:rPr>
          <w:highlight w:val="cyan"/>
          <w:lang w:val="en-US"/>
        </w:rPr>
        <w:t xml:space="preserve"> described above.</w:t>
      </w:r>
      <w:r>
        <w:rPr>
          <w:iCs/>
          <w:highlight w:val="cyan"/>
          <w:lang w:val="en-US"/>
        </w:rPr>
        <w:t xml:space="preserve"> The set of predictors for the model was as follow: </w:t>
      </w:r>
      <w:r>
        <w:rPr>
          <w:b/>
          <w:iCs/>
          <w:highlight w:val="cyan"/>
          <w:lang w:val="en-US"/>
        </w:rPr>
        <w:t>Ptros</w:t>
      </w:r>
      <w:r>
        <w:rPr>
          <w:iCs/>
          <w:highlight w:val="cyan"/>
          <w:lang w:val="en-US"/>
        </w:rPr>
        <w:t xml:space="preserve">, </w:t>
      </w:r>
      <w:r>
        <w:rPr>
          <w:b/>
          <w:iCs/>
          <w:highlight w:val="cyan"/>
          <w:lang w:val="en-US"/>
        </w:rPr>
        <w:t>Morphotype</w:t>
      </w:r>
      <w:r>
        <w:rPr>
          <w:iCs/>
          <w:highlight w:val="cyan"/>
          <w:lang w:val="en-US"/>
        </w:rPr>
        <w:t xml:space="preserve"> (discrete predictor with two levels), </w:t>
      </w:r>
      <w:r>
        <w:rPr>
          <w:b/>
          <w:iCs/>
          <w:highlight w:val="cyan"/>
          <w:lang w:val="en-US"/>
        </w:rPr>
        <w:t>Subset</w:t>
      </w:r>
      <w:r>
        <w:rPr>
          <w:iCs/>
          <w:highlight w:val="cyan"/>
          <w:lang w:val="en-US"/>
        </w:rPr>
        <w:t xml:space="preserve"> and interaction between the terms. </w:t>
      </w:r>
      <w:r>
        <w:rPr>
          <w:b/>
          <w:iCs/>
          <w:highlight w:val="cyan"/>
          <w:lang w:val="en-US"/>
        </w:rPr>
        <w:t>Samples</w:t>
      </w:r>
      <w:r>
        <w:rPr>
          <w:iCs/>
          <w:highlight w:val="cyan"/>
          <w:lang w:val="en-US"/>
        </w:rPr>
        <w:t xml:space="preserve"> was included into model as random factor.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r>
        <w:rPr>
          <w:i/>
          <w:highlight w:val="cyan"/>
          <w:lang w:val="en-US"/>
        </w:rPr>
        <w:t>GLM-Model 5: Taxonomic structure as a function of morphotype proportions in populations.</w:t>
      </w:r>
      <w:r>
        <w:rPr>
          <w:highlight w:val="cyan"/>
          <w:lang w:val="en-US"/>
        </w:rPr>
        <w:t xml:space="preserve"> </w:t>
      </w:r>
      <w:r>
        <w:rPr>
          <w:iCs/>
          <w:highlight w:val="cyan"/>
          <w:lang w:val="en-US"/>
        </w:rPr>
        <w:t>The dependent variable was coded</w:t>
      </w:r>
      <w:r>
        <w:rPr>
          <w:i/>
          <w:iCs/>
          <w:highlight w:val="cyan"/>
          <w:lang w:val="en-US"/>
        </w:rPr>
        <w:t xml:space="preserve"> </w:t>
      </w:r>
      <w:r>
        <w:rPr>
          <w:highlight w:val="cyan"/>
          <w:lang w:val="en-US"/>
        </w:rPr>
        <w:t xml:space="preserve">analogiously to </w:t>
      </w:r>
      <w:r>
        <w:rPr>
          <w:i/>
          <w:highlight w:val="cyan"/>
          <w:lang w:val="en-US"/>
        </w:rPr>
        <w:t>Model 1</w:t>
      </w:r>
      <w:r>
        <w:rPr>
          <w:highlight w:val="cyan"/>
          <w:lang w:val="en-US"/>
        </w:rPr>
        <w:t xml:space="preserve"> and was modelled as function</w:t>
      </w:r>
      <w:r>
        <w:rPr>
          <w:iCs/>
          <w:highlight w:val="cyan"/>
          <w:lang w:val="en-US"/>
        </w:rPr>
        <w:t xml:space="preserve"> of </w:t>
      </w:r>
      <w:r>
        <w:rPr>
          <w:b/>
          <w:bCs/>
          <w:iCs/>
          <w:highlight w:val="cyan"/>
          <w:lang w:val="en-US"/>
        </w:rPr>
        <w:t>PT</w:t>
      </w:r>
      <w:r>
        <w:rPr>
          <w:iCs/>
          <w:highlight w:val="cyan"/>
          <w:lang w:val="en-US"/>
        </w:rPr>
        <w:t xml:space="preserve"> (continuous predictor) and </w:t>
      </w:r>
      <w:r>
        <w:rPr>
          <w:b/>
          <w:bCs/>
          <w:iCs/>
          <w:highlight w:val="cyan"/>
          <w:lang w:val="en-US"/>
        </w:rPr>
        <w:t>Subset</w:t>
      </w:r>
      <w:r>
        <w:rPr>
          <w:iCs/>
          <w:highlight w:val="cyan"/>
          <w:lang w:val="en-US"/>
        </w:rPr>
        <w:t xml:space="preserve"> and interaction between them.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r>
        <w:rPr>
          <w:iCs/>
          <w:highlight w:val="cyan"/>
          <w:lang w:val="en-US"/>
        </w:rPr>
        <w:t>In all cases GLMs was fitted with glm() function from the package “stats” (REF) and random intercept GLMMs - with glmer() function from the package “lme4” (REF).</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highlight w:val="cyan"/>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lang w:val="en-US"/>
        </w:rPr>
      </w:pPr>
      <w:r>
        <w:rPr>
          <w:i/>
          <w:lang w:val="en-US"/>
        </w:rPr>
        <w:t>#################################</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highlight w:val="cyan"/>
          <w:lang w:val="en-US"/>
        </w:rPr>
      </w:pPr>
      <w:r>
        <w:rPr>
          <w:i/>
          <w:highlight w:val="cyan"/>
          <w:lang w:val="en-US"/>
        </w:rPr>
        <w:t>Analysis of data from other regions</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r>
        <w:rPr>
          <w:lang w:val="en-US"/>
        </w:rPr>
        <w:t xml:space="preserve">Given the limited data from European populations (incomplete range of taxonomic structure of populations) we described morphotype proportions among </w:t>
      </w:r>
      <w:r>
        <w:rPr>
          <w:i/>
          <w:lang w:val="en-US"/>
        </w:rPr>
        <w:t>M. trossulus</w:t>
      </w:r>
      <w:r>
        <w:rPr>
          <w:lang w:val="en-US"/>
        </w:rPr>
        <w:t xml:space="preserve"> and </w:t>
      </w:r>
      <w:r>
        <w:rPr>
          <w:i/>
          <w:lang w:val="en-US"/>
        </w:rPr>
        <w:t>M. edulis</w:t>
      </w:r>
      <w:r>
        <w:rPr>
          <w:lang w:val="en-US"/>
        </w:rPr>
        <w:t xml:space="preserve"> based on pooled samples for each regions. </w:t>
      </w:r>
      <w:r>
        <w:rPr>
          <w:highlight w:val="yellow"/>
        </w:rPr>
        <w:t>Ну</w:t>
      </w:r>
      <w:r>
        <w:rPr>
          <w:highlight w:val="yellow"/>
          <w:lang w:val="en-US"/>
        </w:rPr>
        <w:t xml:space="preserve"> </w:t>
      </w:r>
      <w:r>
        <w:rPr>
          <w:highlight w:val="yellow"/>
        </w:rPr>
        <w:t>пока</w:t>
      </w:r>
      <w:r>
        <w:rPr>
          <w:highlight w:val="yellow"/>
          <w:lang w:val="en-US"/>
        </w:rPr>
        <w:t xml:space="preserve"> </w:t>
      </w:r>
      <w:r>
        <w:rPr>
          <w:highlight w:val="yellow"/>
        </w:rPr>
        <w:t>мы</w:t>
      </w:r>
      <w:r>
        <w:rPr>
          <w:highlight w:val="yellow"/>
          <w:lang w:val="en-US"/>
        </w:rPr>
        <w:t xml:space="preserve"> </w:t>
      </w:r>
      <w:r>
        <w:rPr>
          <w:highlight w:val="yellow"/>
        </w:rPr>
        <w:t>только</w:t>
      </w:r>
      <w:r>
        <w:rPr>
          <w:highlight w:val="yellow"/>
          <w:lang w:val="en-US"/>
        </w:rPr>
        <w:t xml:space="preserve"> </w:t>
      </w:r>
      <w:r>
        <w:rPr>
          <w:highlight w:val="yellow"/>
        </w:rPr>
        <w:t>так</w:t>
      </w:r>
      <w:r>
        <w:rPr>
          <w:highlight w:val="yellow"/>
          <w:lang w:val="en-US"/>
        </w:rPr>
        <w:t xml:space="preserve"> </w:t>
      </w:r>
      <w:r>
        <w:rPr>
          <w:highlight w:val="yellow"/>
        </w:rPr>
        <w:t>и</w:t>
      </w:r>
      <w:r>
        <w:rPr>
          <w:highlight w:val="yellow"/>
          <w:lang w:val="en-US"/>
        </w:rPr>
        <w:t xml:space="preserve"> </w:t>
      </w:r>
      <w:r>
        <w:rPr>
          <w:highlight w:val="yellow"/>
        </w:rPr>
        <w:t>делали</w:t>
      </w:r>
      <w:r>
        <w:rPr>
          <w:highlight w:val="yellow"/>
          <w:lang w:val="en-US"/>
        </w:rPr>
        <w:t>..</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lang w:val="en-US"/>
        </w:rPr>
      </w:pPr>
      <w:r>
        <w:rPr>
          <w:i/>
          <w:lang w:val="en-US"/>
        </w:rPr>
        <w:t>Theoretical probabilistic models development</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val="0"/>
          <w:iCs/>
          <w:highlight w:val="cyan"/>
          <w:lang w:val="ru-RU"/>
        </w:rPr>
      </w:pPr>
      <w:r>
        <w:rPr>
          <w:rFonts w:hint="default"/>
          <w:i w:val="0"/>
          <w:iCs/>
          <w:highlight w:val="cyan"/>
          <w:lang w:val="en-US"/>
        </w:rPr>
        <w:t>The only correct way to  assess the association between morphotype and genotype and apply morphotype-test  in any given particular geographical area is to construct regression models similar to models 4 and 5 proposed above. However we belive that applying of some approaches basing on probability theory could facilitate this work.  To use this approach a researcher ought to take some calibrating samples of mussels (30-50 individuals) from the region of interest and genotype them. After genotypes in calibrating samples were identified,  two key values should be assessed: the proportion of T-morphotypes among M.trossulus P(T|MT)</w:t>
      </w:r>
      <w:r>
        <w:rPr>
          <w:rFonts w:hint="default"/>
          <w:i w:val="0"/>
          <w:iCs/>
          <w:highlight w:val="cyan"/>
          <w:vertAlign w:val="subscript"/>
          <w:lang w:val="en-US"/>
        </w:rPr>
        <w:t>c</w:t>
      </w:r>
      <w:r>
        <w:rPr>
          <w:rFonts w:hint="default"/>
          <w:i w:val="0"/>
          <w:iCs/>
          <w:highlight w:val="cyan"/>
          <w:lang w:val="en-US"/>
        </w:rPr>
        <w:t xml:space="preserve"> and  the proportion of E-morphotypes among M.edulis P(E|ME)</w:t>
      </w:r>
      <w:r>
        <w:rPr>
          <w:rFonts w:hint="default"/>
          <w:i w:val="0"/>
          <w:iCs/>
          <w:highlight w:val="cyan"/>
          <w:vertAlign w:val="subscript"/>
          <w:lang w:val="en-US"/>
        </w:rPr>
        <w:t>c</w:t>
      </w:r>
      <w:r>
        <w:rPr>
          <w:rFonts w:hint="default"/>
          <w:i w:val="0"/>
          <w:iCs/>
          <w:highlight w:val="cyan"/>
          <w:lang w:val="en-US"/>
        </w:rPr>
        <w:t>.</w:t>
      </w:r>
      <w:r>
        <w:rPr>
          <w:rFonts w:hint="default"/>
          <w:i w:val="0"/>
          <w:iCs/>
          <w:lang w:val="en-US"/>
        </w:rPr>
        <w:t xml:space="preserve"> </w:t>
      </w:r>
      <w:r>
        <w:rPr>
          <w:rFonts w:hint="default"/>
          <w:i w:val="0"/>
          <w:iCs/>
          <w:highlight w:val="cyan"/>
          <w:lang w:val="en-US"/>
        </w:rPr>
        <w:t>If these values are assessed accurately two theoretical models could be constructed.  The Theoretical model 1 (Eq. 1) predicts the probability of M.trossulus presence if we know the proportion of T-morphotype in any sample from th</w:t>
      </w:r>
      <w:r>
        <w:rPr>
          <w:rFonts w:hint="default"/>
          <w:i w:val="0"/>
          <w:iCs/>
          <w:highlight w:val="cyan"/>
          <w:lang w:val="ru-RU"/>
        </w:rPr>
        <w:t xml:space="preserve">e </w:t>
      </w:r>
      <w:r>
        <w:rPr>
          <w:rFonts w:hint="default"/>
          <w:i w:val="0"/>
          <w:iCs/>
          <w:highlight w:val="cyan"/>
          <w:lang w:val="en-US"/>
        </w:rPr>
        <w:t xml:space="preserve"> region</w:t>
      </w:r>
      <w:r>
        <w:rPr>
          <w:rFonts w:hint="default"/>
          <w:i w:val="0"/>
          <w:iCs/>
          <w:highlight w:val="cyan"/>
          <w:lang w:val="ru-RU"/>
        </w:rPr>
        <w:t xml:space="preserve"> </w:t>
      </w:r>
      <w:r>
        <w:rPr>
          <w:rFonts w:hint="default"/>
          <w:i w:val="0"/>
          <w:iCs/>
          <w:highlight w:val="cyan"/>
          <w:lang w:val="en-US"/>
        </w:rPr>
        <w:t>of</w:t>
      </w:r>
      <w:r>
        <w:rPr>
          <w:rFonts w:hint="default"/>
          <w:i w:val="0"/>
          <w:iCs/>
          <w:highlight w:val="cyan"/>
          <w:lang w:val="ru-RU"/>
        </w:rPr>
        <w:t xml:space="preserve"> </w:t>
      </w:r>
      <w:r>
        <w:rPr>
          <w:rFonts w:hint="default"/>
          <w:i w:val="0"/>
          <w:iCs/>
          <w:highlight w:val="cyan"/>
          <w:lang w:val="en-US"/>
        </w:rPr>
        <w:t>interest. The Theoretical model 2 (Eq 2a, b) predicts the probability of correct identification of given specimens as M.trossulus if we know that this specimen possess the T-morphotype (Eq. 2 a) or the probability of correct identification as M.edulis in the case of a mussel with E-morphotype (Eq. 2 b).</w:t>
      </w:r>
      <w:r>
        <w:rPr>
          <w:i w:val="0"/>
          <w:iCs/>
          <w:highlight w:val="cyan"/>
          <w:lang w:val="en-US"/>
        </w:rPr>
        <w:t xml:space="preserve"> </w:t>
      </w:r>
      <w:r>
        <w:rPr>
          <w:rFonts w:hint="default"/>
          <w:i w:val="0"/>
          <w:iCs/>
          <w:highlight w:val="cyan"/>
          <w:lang w:val="en-US"/>
        </w:rPr>
        <w:t>The derivation of these formulas is given in SEM.</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rFonts w:eastAsia="Calibri"/>
          <w:b/>
          <w:iCs/>
          <w:color w:val="000000" w:themeColor="text1"/>
          <w:kern w:val="24"/>
          <w:highlight w:val="cyan"/>
          <w:lang w:val="en-US"/>
          <w14:textFill>
            <w14:solidFill>
              <w14:schemeClr w14:val="tx1"/>
            </w14:solidFill>
          </w14:textFill>
        </w:rPr>
      </w:pPr>
      <m:oMath>
        <m:r>
          <m:rPr>
            <m:nor/>
            <m:sty m:val="b"/>
          </m:rPr>
          <w:rPr>
            <w:rFonts w:eastAsia="Calibri"/>
            <w:b/>
            <w:bCs/>
            <w:color w:val="000000" w:themeColor="text1"/>
            <w:kern w:val="24"/>
            <w:highlight w:val="cyan"/>
            <w:lang w:val="en-US"/>
            <w14:textFill>
              <w14:solidFill>
                <w14:schemeClr w14:val="tx1"/>
              </w14:solidFill>
            </w14:textFill>
          </w:rPr>
          <m:t>Ptros</m:t>
        </m:r>
      </m:oMath>
      <w:r>
        <w:rPr>
          <w:rFonts w:eastAsia="Calibri"/>
          <w:b/>
          <w:bCs/>
          <w:color w:val="000000" w:themeColor="text1"/>
          <w:kern w:val="24"/>
          <w:highlight w:val="cyan"/>
          <w:lang w:val="en-US"/>
          <w14:textFill>
            <w14:solidFill>
              <w14:schemeClr w14:val="tx1"/>
            </w14:solidFill>
          </w14:textFill>
        </w:rPr>
        <w:t xml:space="preserve"> = </w:t>
      </w:r>
      <m:oMath>
        <m:f>
          <m:fPr>
            <m:ctrlPr>
              <w:rPr>
                <w:rFonts w:ascii="Cambria Math" w:hAnsi="Cambria Math"/>
                <w:b/>
                <w:i/>
                <w:iCs/>
                <w:color w:val="000000" w:themeColor="text1"/>
                <w:kern w:val="24"/>
                <w:sz w:val="30"/>
                <w:szCs w:val="30"/>
                <w:highlight w:val="cyan"/>
                <w14:textFill>
                  <w14:solidFill>
                    <w14:schemeClr w14:val="tx1"/>
                  </w14:solidFill>
                </w14:textFill>
              </w:rPr>
            </m:ctrlPr>
          </m:fPr>
          <m:num>
            <m:r>
              <m:rPr>
                <m:nor/>
                <m:sty m:val="b"/>
              </m:rPr>
              <w:rPr>
                <w:rFonts w:eastAsia="Calibri"/>
                <w:b/>
                <w:bCs/>
                <w:color w:val="000000" w:themeColor="text1"/>
                <w:kern w:val="24"/>
                <w:sz w:val="30"/>
                <w:szCs w:val="30"/>
                <w:highlight w:val="cyan"/>
                <w:lang w:val="en-US"/>
                <w14:textFill>
                  <w14:solidFill>
                    <w14:schemeClr w14:val="tx1"/>
                  </w14:solidFill>
                </w14:textFill>
              </w:rPr>
              <m:t>PT – (1</m:t>
            </m:r>
            <m:r>
              <m:rPr>
                <m:nor/>
                <m:sty m:val="b"/>
              </m:rPr>
              <w:rPr>
                <w:rFonts w:ascii="Cambria Math" w:eastAsia="Calibri"/>
                <w:b/>
                <w:bCs/>
                <w:color w:val="000000" w:themeColor="text1"/>
                <w:kern w:val="24"/>
                <w:sz w:val="30"/>
                <w:szCs w:val="30"/>
                <w:highlight w:val="cyan"/>
                <w:lang w:val="en-US"/>
                <w14:textFill>
                  <w14:solidFill>
                    <w14:schemeClr w14:val="tx1"/>
                  </w14:solidFill>
                </w14:textFill>
              </w:rPr>
              <m:t xml:space="preserve"> </m:t>
            </m:r>
            <m:r>
              <m:rPr>
                <m:nor/>
                <m:sty m:val="b"/>
              </m:rPr>
              <w:rPr>
                <w:rFonts w:eastAsia="Calibri"/>
                <w:b/>
                <w:bCs/>
                <w:color w:val="000000" w:themeColor="text1"/>
                <w:kern w:val="24"/>
                <w:sz w:val="30"/>
                <w:szCs w:val="30"/>
                <w:highlight w:val="cyan"/>
                <w:lang w:val="en-US"/>
                <w14:textFill>
                  <w14:solidFill>
                    <w14:schemeClr w14:val="tx1"/>
                  </w14:solidFill>
                </w14:textFill>
              </w:rPr>
              <m:t>-</m:t>
            </m:r>
            <m:r>
              <m:rPr>
                <m:nor/>
                <m:sty m:val="b"/>
              </m:rPr>
              <w:rPr>
                <w:rFonts w:ascii="Cambria Math" w:eastAsia="Calibri"/>
                <w:b/>
                <w:bCs/>
                <w:color w:val="000000" w:themeColor="text1"/>
                <w:kern w:val="24"/>
                <w:sz w:val="30"/>
                <w:szCs w:val="30"/>
                <w:highlight w:val="cyan"/>
                <w:lang w:val="en-US"/>
                <w14:textFill>
                  <w14:solidFill>
                    <w14:schemeClr w14:val="tx1"/>
                  </w14:solidFill>
                </w14:textFill>
              </w:rPr>
              <m:t xml:space="preserve"> </m:t>
            </m:r>
            <m:r>
              <m:rPr>
                <m:nor/>
                <m:sty m:val="b"/>
              </m:rPr>
              <w:rPr>
                <w:rFonts w:eastAsia="Calibri"/>
                <w:b/>
                <w:bCs/>
                <w:color w:val="000000" w:themeColor="text1"/>
                <w:kern w:val="24"/>
                <w:sz w:val="30"/>
                <w:szCs w:val="30"/>
                <w:highlight w:val="cyan"/>
                <w:lang w:val="en-US"/>
                <w14:textFill>
                  <w14:solidFill>
                    <w14:schemeClr w14:val="tx1"/>
                  </w14:solidFill>
                </w14:textFill>
              </w:rPr>
              <m:t>P(E|ME)</m:t>
            </m:r>
            <m:r>
              <m:rPr>
                <m:nor/>
                <m:sty m:val="b"/>
              </m:rPr>
              <w:rPr>
                <w:rFonts w:eastAsia="Calibri"/>
                <w:b/>
                <w:bCs/>
                <w:color w:val="000000" w:themeColor="text1"/>
                <w:kern w:val="24"/>
                <w:position w:val="-7"/>
                <w:sz w:val="30"/>
                <w:szCs w:val="30"/>
                <w:highlight w:val="cyan"/>
                <w:lang w:val="en-US"/>
                <w14:textFill>
                  <w14:solidFill>
                    <w14:schemeClr w14:val="tx1"/>
                  </w14:solidFill>
                </w14:textFill>
              </w:rPr>
              <m:t>c</m:t>
            </m:r>
            <m:r>
              <m:rPr>
                <m:nor/>
                <m:sty m:val="b"/>
              </m:rPr>
              <w:rPr>
                <w:rFonts w:eastAsia="Calibri"/>
                <w:b/>
                <w:bCs/>
                <w:color w:val="000000" w:themeColor="text1"/>
                <w:kern w:val="24"/>
                <w:sz w:val="30"/>
                <w:szCs w:val="30"/>
                <w:highlight w:val="cyan"/>
                <w:lang w:val="en-US"/>
                <w14:textFill>
                  <w14:solidFill>
                    <w14:schemeClr w14:val="tx1"/>
                  </w14:solidFill>
                </w14:textFill>
              </w:rPr>
              <m:t>)</m:t>
            </m:r>
            <m:ctrlPr>
              <w:rPr>
                <w:rFonts w:ascii="Cambria Math" w:hAnsi="Cambria Math"/>
                <w:b/>
                <w:i/>
                <w:iCs/>
                <w:color w:val="000000" w:themeColor="text1"/>
                <w:kern w:val="24"/>
                <w:sz w:val="30"/>
                <w:szCs w:val="30"/>
                <w:highlight w:val="cyan"/>
                <w14:textFill>
                  <w14:solidFill>
                    <w14:schemeClr w14:val="tx1"/>
                  </w14:solidFill>
                </w14:textFill>
              </w:rPr>
            </m:ctrlPr>
          </m:num>
          <m:den>
            <m:r>
              <m:rPr>
                <m:nor/>
                <m:sty m:val="b"/>
              </m:rPr>
              <w:rPr>
                <w:rFonts w:eastAsia="Calibri"/>
                <w:b/>
                <w:bCs/>
                <w:color w:val="000000" w:themeColor="text1"/>
                <w:kern w:val="24"/>
                <w:sz w:val="30"/>
                <w:szCs w:val="30"/>
                <w:highlight w:val="cyan"/>
                <w:lang w:val="en-US"/>
                <w14:textFill>
                  <w14:solidFill>
                    <w14:schemeClr w14:val="tx1"/>
                  </w14:solidFill>
                </w14:textFill>
              </w:rPr>
              <m:t>P(T|MT)</m:t>
            </m:r>
            <m:r>
              <m:rPr>
                <m:nor/>
                <m:sty m:val="b"/>
              </m:rPr>
              <w:rPr>
                <w:rFonts w:eastAsia="Calibri"/>
                <w:b/>
                <w:bCs/>
                <w:color w:val="000000" w:themeColor="text1"/>
                <w:kern w:val="24"/>
                <w:position w:val="-7"/>
                <w:sz w:val="30"/>
                <w:szCs w:val="30"/>
                <w:highlight w:val="cyan"/>
                <w:lang w:val="en-US"/>
                <w14:textFill>
                  <w14:solidFill>
                    <w14:schemeClr w14:val="tx1"/>
                  </w14:solidFill>
                </w14:textFill>
              </w:rPr>
              <m:t>c</m:t>
            </m:r>
            <m:r>
              <m:rPr>
                <m:nor/>
                <m:sty m:val="b"/>
              </m:rPr>
              <w:rPr>
                <w:rFonts w:eastAsia="Calibri"/>
                <w:b/>
                <w:bCs/>
                <w:color w:val="000000" w:themeColor="text1"/>
                <w:kern w:val="24"/>
                <w:sz w:val="30"/>
                <w:szCs w:val="30"/>
                <w:highlight w:val="cyan"/>
                <w:lang w:val="en-US"/>
                <w14:textFill>
                  <w14:solidFill>
                    <w14:schemeClr w14:val="tx1"/>
                  </w14:solidFill>
                </w14:textFill>
              </w:rPr>
              <m:t xml:space="preserve"> - </m:t>
            </m:r>
            <m:r>
              <m:rPr>
                <m:nor/>
                <m:sty m:val="b"/>
              </m:rPr>
              <w:rPr>
                <w:rFonts w:ascii="Cambria Math" w:eastAsia="Calibri"/>
                <w:b/>
                <w:bCs/>
                <w:color w:val="000000" w:themeColor="text1"/>
                <w:kern w:val="24"/>
                <w:sz w:val="30"/>
                <w:szCs w:val="30"/>
                <w:highlight w:val="cyan"/>
                <w:lang w:val="en-US"/>
                <w14:textFill>
                  <w14:solidFill>
                    <w14:schemeClr w14:val="tx1"/>
                  </w14:solidFill>
                </w14:textFill>
              </w:rPr>
              <m:t xml:space="preserve"> </m:t>
            </m:r>
            <m:r>
              <m:rPr>
                <m:nor/>
                <m:sty m:val="b"/>
              </m:rPr>
              <w:rPr>
                <w:rFonts w:eastAsia="Calibri"/>
                <w:b/>
                <w:bCs/>
                <w:color w:val="000000" w:themeColor="text1"/>
                <w:kern w:val="24"/>
                <w:sz w:val="30"/>
                <w:szCs w:val="30"/>
                <w:highlight w:val="cyan"/>
                <w:lang w:val="en-US"/>
                <w14:textFill>
                  <w14:solidFill>
                    <w14:schemeClr w14:val="tx1"/>
                  </w14:solidFill>
                </w14:textFill>
              </w:rPr>
              <m:t>(1</m:t>
            </m:r>
            <m:r>
              <m:rPr>
                <m:nor/>
                <m:sty m:val="b"/>
              </m:rPr>
              <w:rPr>
                <w:rFonts w:ascii="Cambria Math" w:eastAsia="Calibri"/>
                <w:b/>
                <w:bCs/>
                <w:color w:val="000000" w:themeColor="text1"/>
                <w:kern w:val="24"/>
                <w:sz w:val="30"/>
                <w:szCs w:val="30"/>
                <w:highlight w:val="cyan"/>
                <w:lang w:val="en-US"/>
                <w14:textFill>
                  <w14:solidFill>
                    <w14:schemeClr w14:val="tx1"/>
                  </w14:solidFill>
                </w14:textFill>
              </w:rPr>
              <m:t xml:space="preserve"> </m:t>
            </m:r>
            <m:r>
              <m:rPr>
                <m:nor/>
                <m:sty m:val="b"/>
              </m:rPr>
              <w:rPr>
                <w:rFonts w:eastAsia="Calibri"/>
                <w:b/>
                <w:bCs/>
                <w:color w:val="000000" w:themeColor="text1"/>
                <w:kern w:val="24"/>
                <w:sz w:val="30"/>
                <w:szCs w:val="30"/>
                <w:highlight w:val="cyan"/>
                <w:lang w:val="en-US"/>
                <w14:textFill>
                  <w14:solidFill>
                    <w14:schemeClr w14:val="tx1"/>
                  </w14:solidFill>
                </w14:textFill>
              </w:rPr>
              <m:t>- P(E|M</m:t>
            </m:r>
            <m:r>
              <m:rPr>
                <m:nor/>
                <m:sty m:val="b"/>
              </m:rPr>
              <w:rPr>
                <w:rFonts w:eastAsia="Calibri"/>
                <w:b/>
                <w:bCs/>
                <w:color w:val="000000" w:themeColor="text1"/>
                <w:kern w:val="24"/>
                <w:sz w:val="30"/>
                <w:szCs w:val="30"/>
                <w:highlight w:val="cyan"/>
                <w14:textFill>
                  <w14:solidFill>
                    <w14:schemeClr w14:val="tx1"/>
                  </w14:solidFill>
                </w14:textFill>
              </w:rPr>
              <m:t>Е</m:t>
            </m:r>
            <m:r>
              <m:rPr>
                <m:nor/>
                <m:sty m:val="b"/>
              </m:rPr>
              <w:rPr>
                <w:rFonts w:eastAsia="Calibri"/>
                <w:b/>
                <w:bCs/>
                <w:color w:val="000000" w:themeColor="text1"/>
                <w:kern w:val="24"/>
                <w:sz w:val="30"/>
                <w:szCs w:val="30"/>
                <w:highlight w:val="cyan"/>
                <w:lang w:val="en-US"/>
                <w14:textFill>
                  <w14:solidFill>
                    <w14:schemeClr w14:val="tx1"/>
                  </w14:solidFill>
                </w14:textFill>
              </w:rPr>
              <m:t>)</m:t>
            </m:r>
            <m:r>
              <m:rPr>
                <m:nor/>
                <m:sty m:val="b"/>
              </m:rPr>
              <w:rPr>
                <w:rFonts w:eastAsia="Calibri"/>
                <w:b/>
                <w:bCs/>
                <w:color w:val="000000" w:themeColor="text1"/>
                <w:kern w:val="24"/>
                <w:position w:val="-7"/>
                <w:sz w:val="30"/>
                <w:szCs w:val="30"/>
                <w:highlight w:val="cyan"/>
                <w:lang w:val="en-US"/>
                <w14:textFill>
                  <w14:solidFill>
                    <w14:schemeClr w14:val="tx1"/>
                  </w14:solidFill>
                </w14:textFill>
              </w:rPr>
              <m:t>c</m:t>
            </m:r>
            <m:r>
              <m:rPr>
                <m:nor/>
                <m:sty m:val="b"/>
              </m:rPr>
              <w:rPr>
                <w:rFonts w:eastAsia="Calibri"/>
                <w:b/>
                <w:bCs/>
                <w:color w:val="000000" w:themeColor="text1"/>
                <w:kern w:val="24"/>
                <w:sz w:val="30"/>
                <w:szCs w:val="30"/>
                <w:highlight w:val="cyan"/>
                <w:lang w:val="en-US"/>
                <w14:textFill>
                  <w14:solidFill>
                    <w14:schemeClr w14:val="tx1"/>
                  </w14:solidFill>
                </w14:textFill>
              </w:rPr>
              <m:t>)</m:t>
            </m:r>
            <m:ctrlPr>
              <w:rPr>
                <w:rFonts w:ascii="Cambria Math" w:hAnsi="Cambria Math"/>
                <w:b/>
                <w:i/>
                <w:iCs/>
                <w:color w:val="000000" w:themeColor="text1"/>
                <w:kern w:val="24"/>
                <w:sz w:val="30"/>
                <w:szCs w:val="30"/>
                <w:highlight w:val="cyan"/>
                <w14:textFill>
                  <w14:solidFill>
                    <w14:schemeClr w14:val="tx1"/>
                  </w14:solidFill>
                </w14:textFill>
              </w:rPr>
            </m:ctrlPr>
          </m:den>
        </m:f>
      </m:oMath>
      <w:r>
        <w:rPr>
          <w:rFonts w:eastAsia="Calibri"/>
          <w:b/>
          <w:iCs/>
          <w:color w:val="000000" w:themeColor="text1"/>
          <w:kern w:val="24"/>
          <w:highlight w:val="cyan"/>
          <w:lang w:val="en-US"/>
          <w14:textFill>
            <w14:solidFill>
              <w14:schemeClr w14:val="tx1"/>
            </w14:solidFill>
          </w14:textFill>
        </w:rPr>
        <w:t xml:space="preserve">                                                          (1)</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rFonts w:eastAsia="Calibri"/>
          <w:b/>
          <w:iCs/>
          <w:color w:val="000000" w:themeColor="text1"/>
          <w:kern w:val="24"/>
          <w:sz w:val="28"/>
          <w:szCs w:val="28"/>
          <w:highlight w:val="cyan"/>
          <w:lang w:val="en-US"/>
          <w14:textFill>
            <w14:solidFill>
              <w14:schemeClr w14:val="tx1"/>
            </w14:solidFill>
          </w14:textFill>
        </w:rPr>
      </w:pPr>
      <w:r>
        <w:rPr>
          <w:rFonts w:eastAsia="Calibri"/>
          <w:b/>
          <w:bCs/>
          <w:color w:val="000000" w:themeColor="text1"/>
          <w:kern w:val="24"/>
          <w:highlight w:val="cyan"/>
          <w:lang w:val="en-US"/>
          <w14:textFill>
            <w14:solidFill>
              <w14:schemeClr w14:val="tx1"/>
            </w14:solidFill>
          </w14:textFill>
        </w:rPr>
        <w:t xml:space="preserve">P(MT|T) = </w:t>
      </w:r>
      <m:oMath>
        <m:f>
          <m:fPr>
            <m:ctrlPr>
              <w:rPr>
                <w:rFonts w:ascii="Cambria Math" w:hAnsi="Cambria Math"/>
                <w:b/>
                <w:i/>
                <w:iCs/>
                <w:color w:val="000000" w:themeColor="text1"/>
                <w:kern w:val="24"/>
                <w:sz w:val="28"/>
                <w:szCs w:val="28"/>
                <w:highlight w:val="cyan"/>
                <w14:textFill>
                  <w14:solidFill>
                    <w14:schemeClr w14:val="tx1"/>
                  </w14:solidFill>
                </w14:textFill>
              </w:rPr>
            </m:ctrlPr>
          </m:fPr>
          <m:num>
            <m:r>
              <m:rPr>
                <m:nor/>
                <m:sty m:val="b"/>
              </m:rPr>
              <w:rPr>
                <w:rFonts w:eastAsia="Calibri"/>
                <w:b/>
                <w:bCs/>
                <w:color w:val="000000" w:themeColor="text1"/>
                <w:kern w:val="24"/>
                <w:sz w:val="28"/>
                <w:szCs w:val="28"/>
                <w:highlight w:val="cyan"/>
                <w:lang w:val="en-US"/>
                <w14:textFill>
                  <w14:solidFill>
                    <w14:schemeClr w14:val="tx1"/>
                  </w14:solidFill>
                </w14:textFill>
              </w:rPr>
              <m:t>Ptros*P(T|MT)</m:t>
            </m:r>
            <m:r>
              <m:rPr>
                <m:nor/>
                <m:sty m:val="b"/>
              </m:rPr>
              <w:rPr>
                <w:rFonts w:eastAsia="Calibri"/>
                <w:b/>
                <w:bCs/>
                <w:color w:val="000000" w:themeColor="text1"/>
                <w:kern w:val="24"/>
                <w:position w:val="-7"/>
                <w:sz w:val="28"/>
                <w:szCs w:val="28"/>
                <w:highlight w:val="cyan"/>
                <w:vertAlign w:val="subscript"/>
                <w:lang w:val="en-US"/>
                <w14:textFill>
                  <w14:solidFill>
                    <w14:schemeClr w14:val="tx1"/>
                  </w14:solidFill>
                </w14:textFill>
              </w:rPr>
              <m:t>c</m:t>
            </m:r>
            <m:ctrlPr>
              <w:rPr>
                <w:rFonts w:ascii="Cambria Math" w:hAnsi="Cambria Math"/>
                <w:b/>
                <w:i/>
                <w:iCs/>
                <w:color w:val="000000" w:themeColor="text1"/>
                <w:kern w:val="24"/>
                <w:sz w:val="28"/>
                <w:szCs w:val="28"/>
                <w:highlight w:val="cyan"/>
                <w14:textFill>
                  <w14:solidFill>
                    <w14:schemeClr w14:val="tx1"/>
                  </w14:solidFill>
                </w14:textFill>
              </w:rPr>
            </m:ctrlPr>
          </m:num>
          <m:den>
            <m:r>
              <m:rPr>
                <m:nor/>
                <m:sty m:val="b"/>
              </m:rPr>
              <w:rPr>
                <w:b/>
                <w:bCs/>
                <w:color w:val="000000" w:themeColor="text1"/>
                <w:kern w:val="24"/>
                <w:highlight w:val="cyan"/>
                <w:lang w:val="en-US"/>
                <w14:textFill>
                  <w14:solidFill>
                    <w14:schemeClr w14:val="tx1"/>
                  </w14:solidFill>
                </w14:textFill>
              </w:rPr>
              <m:t>(1-</m:t>
            </m:r>
            <m:r>
              <m:rPr>
                <m:nor/>
                <m:sty m:val="b"/>
              </m:rPr>
              <w:rPr>
                <w:rFonts w:eastAsia="Calibri"/>
                <w:b/>
                <w:bCs/>
                <w:color w:val="000000" w:themeColor="text1"/>
                <w:kern w:val="24"/>
                <w:highlight w:val="cyan"/>
                <w:lang w:val="en-US"/>
                <w14:textFill>
                  <w14:solidFill>
                    <w14:schemeClr w14:val="tx1"/>
                  </w14:solidFill>
                </w14:textFill>
              </w:rPr>
              <m:t>Ptros)</m:t>
            </m:r>
            <m:r>
              <m:rPr>
                <m:nor/>
                <m:sty m:val="b"/>
              </m:rPr>
              <w:rPr>
                <w:rFonts w:ascii="Cambria Math" w:hAnsi="Cambria Math" w:eastAsia="Calibri" w:cs="Cambria Math"/>
                <w:b/>
                <w:bCs/>
                <w:color w:val="000000" w:themeColor="text1"/>
                <w:kern w:val="24"/>
                <w:highlight w:val="cyan"/>
                <w:lang w:val="en-US"/>
                <w14:textFill>
                  <w14:solidFill>
                    <w14:schemeClr w14:val="tx1"/>
                  </w14:solidFill>
                </w14:textFill>
              </w:rPr>
              <m:t xml:space="preserve">*(1 - </m:t>
            </m:r>
            <m:r>
              <m:rPr>
                <m:nor/>
                <m:sty m:val="b"/>
              </m:rPr>
              <w:rPr>
                <w:rFonts w:eastAsia="Calibri"/>
                <w:b/>
                <w:bCs/>
                <w:color w:val="000000" w:themeColor="text1"/>
                <w:kern w:val="24"/>
                <w:highlight w:val="cyan"/>
                <w:lang w:val="en-US"/>
                <w14:textFill>
                  <w14:solidFill>
                    <w14:schemeClr w14:val="tx1"/>
                  </w14:solidFill>
                </w14:textFill>
              </w:rPr>
              <m:t>P(E|ME)</m:t>
            </m:r>
            <m:r>
              <m:rPr>
                <m:nor/>
                <m:sty m:val="b"/>
              </m:rPr>
              <w:rPr>
                <w:rFonts w:eastAsia="Calibri"/>
                <w:b/>
                <w:bCs/>
                <w:color w:val="000000" w:themeColor="text1"/>
                <w:kern w:val="24"/>
                <w:position w:val="-7"/>
                <w:highlight w:val="cyan"/>
                <w:lang w:val="en-US"/>
                <w14:textFill>
                  <w14:solidFill>
                    <w14:schemeClr w14:val="tx1"/>
                  </w14:solidFill>
                </w14:textFill>
              </w:rPr>
              <m:t>c</m:t>
            </m:r>
            <m:r>
              <m:rPr>
                <m:nor/>
                <m:sty m:val="b"/>
              </m:rPr>
              <w:rPr>
                <w:rFonts w:eastAsia="Calibri"/>
                <w:b/>
                <w:bCs/>
                <w:color w:val="000000" w:themeColor="text1"/>
                <w:kern w:val="24"/>
                <w:highlight w:val="cyan"/>
                <w:lang w:val="en-US"/>
                <w14:textFill>
                  <w14:solidFill>
                    <w14:schemeClr w14:val="tx1"/>
                  </w14:solidFill>
                </w14:textFill>
              </w:rPr>
              <m:t>)</m:t>
            </m:r>
            <m:r>
              <m:rPr>
                <m:nor/>
                <m:sty m:val="b"/>
              </m:rPr>
              <w:rPr>
                <w:rFonts w:ascii="Cambria Math" w:eastAsia="Calibri"/>
                <w:b/>
                <w:bCs/>
                <w:color w:val="000000" w:themeColor="text1"/>
                <w:kern w:val="24"/>
                <w:position w:val="-7"/>
                <w:highlight w:val="cyan"/>
                <w:lang w:val="en-US"/>
                <w14:textFill>
                  <w14:solidFill>
                    <w14:schemeClr w14:val="tx1"/>
                  </w14:solidFill>
                </w14:textFill>
              </w:rPr>
              <m:t xml:space="preserve"> </m:t>
            </m:r>
            <m:r>
              <m:rPr>
                <m:sty m:val="bi"/>
              </m:rPr>
              <w:rPr>
                <w:rFonts w:ascii="Cambria Math" w:hAnsi="Cambria Math"/>
                <w:color w:val="000000" w:themeColor="text1"/>
                <w:kern w:val="24"/>
                <w:highlight w:val="cyan"/>
                <w:lang w:val="en-US"/>
                <w14:textFill>
                  <w14:solidFill>
                    <w14:schemeClr w14:val="tx1"/>
                  </w14:solidFill>
                </w14:textFill>
              </w:rPr>
              <m:t xml:space="preserve">+ </m:t>
            </m:r>
            <m:r>
              <m:rPr>
                <m:sty m:val="b"/>
              </m:rPr>
              <w:rPr>
                <w:rFonts w:ascii="Cambria Math" w:hAnsi="Cambria Math"/>
                <w:color w:val="000000" w:themeColor="text1"/>
                <w:kern w:val="24"/>
                <w:highlight w:val="cyan"/>
                <w14:textFill>
                  <w14:solidFill>
                    <w14:schemeClr w14:val="tx1"/>
                  </w14:solidFill>
                </w14:textFill>
              </w:rPr>
              <m:t>Ptros</m:t>
            </m:r>
            <m:r>
              <m:rPr>
                <m:sty m:val="b"/>
              </m:rPr>
              <w:rPr>
                <w:rFonts w:ascii="Cambria Math" w:hAnsi="Cambria Math"/>
                <w:color w:val="000000" w:themeColor="text1"/>
                <w:kern w:val="24"/>
                <w:highlight w:val="cyan"/>
                <w:lang w:val="en-US"/>
                <w14:textFill>
                  <w14:solidFill>
                    <w14:schemeClr w14:val="tx1"/>
                  </w14:solidFill>
                </w14:textFill>
              </w:rPr>
              <m:t>*</m:t>
            </m:r>
            <m:r>
              <m:rPr>
                <m:nor/>
                <m:sty m:val="b"/>
              </m:rPr>
              <w:rPr>
                <w:rFonts w:eastAsia="Calibri"/>
                <w:b/>
                <w:bCs/>
                <w:color w:val="000000" w:themeColor="text1"/>
                <w:kern w:val="24"/>
                <w:highlight w:val="cyan"/>
                <w:lang w:val="en-US"/>
                <w14:textFill>
                  <w14:solidFill>
                    <w14:schemeClr w14:val="tx1"/>
                  </w14:solidFill>
                </w14:textFill>
              </w:rPr>
              <m:t>P(</m:t>
            </m:r>
            <m:r>
              <m:rPr>
                <m:nor/>
                <m:sty m:val="b"/>
              </m:rPr>
              <w:rPr>
                <w:rFonts w:eastAsia="Calibri"/>
                <w:b/>
                <w:bCs/>
                <w:color w:val="000000" w:themeColor="text1"/>
                <w:kern w:val="24"/>
                <w:highlight w:val="cyan"/>
                <w14:textFill>
                  <w14:solidFill>
                    <w14:schemeClr w14:val="tx1"/>
                  </w14:solidFill>
                </w14:textFill>
              </w:rPr>
              <m:t>Т</m:t>
            </m:r>
            <m:r>
              <m:rPr>
                <m:nor/>
                <m:sty m:val="b"/>
              </m:rPr>
              <w:rPr>
                <w:rFonts w:eastAsia="Calibri"/>
                <w:b/>
                <w:bCs/>
                <w:color w:val="000000" w:themeColor="text1"/>
                <w:kern w:val="24"/>
                <w:highlight w:val="cyan"/>
                <w:lang w:val="en-US"/>
                <w14:textFill>
                  <w14:solidFill>
                    <w14:schemeClr w14:val="tx1"/>
                  </w14:solidFill>
                </w14:textFill>
              </w:rPr>
              <m:t>|MT)</m:t>
            </m:r>
            <m:r>
              <m:rPr>
                <m:nor/>
                <m:sty m:val="b"/>
              </m:rPr>
              <w:rPr>
                <w:rFonts w:eastAsia="Calibri"/>
                <w:b/>
                <w:bCs/>
                <w:color w:val="000000" w:themeColor="text1"/>
                <w:kern w:val="24"/>
                <w:highlight w:val="cyan"/>
                <w:vertAlign w:val="subscript"/>
                <w:lang w:val="en-US"/>
                <w14:textFill>
                  <w14:solidFill>
                    <w14:schemeClr w14:val="tx1"/>
                  </w14:solidFill>
                </w14:textFill>
              </w:rPr>
              <m:t>c</m:t>
            </m:r>
            <m:ctrlPr>
              <w:rPr>
                <w:rFonts w:ascii="Cambria Math" w:hAnsi="Cambria Math"/>
                <w:b/>
                <w:i/>
                <w:iCs/>
                <w:color w:val="000000" w:themeColor="text1"/>
                <w:kern w:val="24"/>
                <w:sz w:val="28"/>
                <w:szCs w:val="28"/>
                <w:highlight w:val="cyan"/>
                <w14:textFill>
                  <w14:solidFill>
                    <w14:schemeClr w14:val="tx1"/>
                  </w14:solidFill>
                </w14:textFill>
              </w:rPr>
            </m:ctrlPr>
          </m:den>
        </m:f>
      </m:oMath>
      <w:r>
        <w:rPr>
          <w:rFonts w:eastAsia="Calibri"/>
          <w:b/>
          <w:iCs/>
          <w:color w:val="000000" w:themeColor="text1"/>
          <w:kern w:val="24"/>
          <w:sz w:val="28"/>
          <w:szCs w:val="28"/>
          <w:highlight w:val="cyan"/>
          <w:lang w:val="en-US"/>
          <w14:textFill>
            <w14:solidFill>
              <w14:schemeClr w14:val="tx1"/>
            </w14:solidFill>
          </w14:textFill>
        </w:rPr>
        <w:t xml:space="preserve">                                       </w:t>
      </w:r>
      <w:r>
        <w:rPr>
          <w:rFonts w:eastAsia="Calibri"/>
          <w:b/>
          <w:iCs/>
          <w:color w:val="000000" w:themeColor="text1"/>
          <w:kern w:val="24"/>
          <w:highlight w:val="cyan"/>
          <w:lang w:val="en-US"/>
          <w14:textFill>
            <w14:solidFill>
              <w14:schemeClr w14:val="tx1"/>
            </w14:solidFill>
          </w14:textFill>
        </w:rPr>
        <w:t>(2a)</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b/>
          <w:highlight w:val="cyan"/>
          <w:lang w:val="en-US"/>
        </w:rPr>
      </w:pPr>
      <w:r>
        <w:rPr>
          <w:rFonts w:eastAsia="Calibri"/>
          <w:b/>
          <w:bCs/>
          <w:color w:val="000000" w:themeColor="text1"/>
          <w:kern w:val="24"/>
          <w:highlight w:val="cyan"/>
          <w:lang w:val="en-US"/>
          <w14:textFill>
            <w14:solidFill>
              <w14:schemeClr w14:val="tx1"/>
            </w14:solidFill>
          </w14:textFill>
        </w:rPr>
        <w:t xml:space="preserve">P(ME|E) = </w:t>
      </w:r>
      <m:oMath>
        <m:f>
          <m:fPr>
            <m:ctrlPr>
              <w:rPr>
                <w:rFonts w:ascii="Cambria Math" w:hAnsi="Cambria Math"/>
                <w:b/>
                <w:i/>
                <w:iCs/>
                <w:color w:val="000000" w:themeColor="text1"/>
                <w:kern w:val="24"/>
                <w:highlight w:val="cyan"/>
                <w14:textFill>
                  <w14:solidFill>
                    <w14:schemeClr w14:val="tx1"/>
                  </w14:solidFill>
                </w14:textFill>
              </w:rPr>
            </m:ctrlPr>
          </m:fPr>
          <m:num>
            <m:r>
              <m:rPr>
                <m:nor/>
                <m:sty m:val="b"/>
              </m:rPr>
              <w:rPr>
                <w:b/>
                <w:bCs/>
                <w:color w:val="000000" w:themeColor="text1"/>
                <w:kern w:val="24"/>
                <w:highlight w:val="cyan"/>
                <w:lang w:val="en-US"/>
                <w14:textFill>
                  <w14:solidFill>
                    <w14:schemeClr w14:val="tx1"/>
                  </w14:solidFill>
                </w14:textFill>
              </w:rPr>
              <m:t>(1-</m:t>
            </m:r>
            <m:r>
              <m:rPr>
                <m:nor/>
                <m:sty m:val="b"/>
              </m:rPr>
              <w:rPr>
                <w:rFonts w:eastAsia="Calibri"/>
                <w:b/>
                <w:bCs/>
                <w:color w:val="000000" w:themeColor="text1"/>
                <w:kern w:val="24"/>
                <w:highlight w:val="cyan"/>
                <w:lang w:val="en-US"/>
                <w14:textFill>
                  <w14:solidFill>
                    <w14:schemeClr w14:val="tx1"/>
                  </w14:solidFill>
                </w14:textFill>
              </w:rPr>
              <m:t>Ptros)</m:t>
            </m:r>
            <m:r>
              <m:rPr>
                <m:nor/>
                <m:sty m:val="b"/>
              </m:rPr>
              <w:rPr>
                <w:rFonts w:ascii="Cambria Math" w:hAnsi="Cambria Math" w:eastAsia="Calibri" w:cs="Cambria Math"/>
                <w:b/>
                <w:bCs/>
                <w:color w:val="000000" w:themeColor="text1"/>
                <w:kern w:val="24"/>
                <w:highlight w:val="cyan"/>
                <w:lang w:val="en-US"/>
                <w14:textFill>
                  <w14:solidFill>
                    <w14:schemeClr w14:val="tx1"/>
                  </w14:solidFill>
                </w14:textFill>
              </w:rPr>
              <m:t>*</m:t>
            </m:r>
            <m:r>
              <m:rPr>
                <m:nor/>
                <m:sty m:val="b"/>
              </m:rPr>
              <w:rPr>
                <w:rFonts w:eastAsia="Calibri"/>
                <w:b/>
                <w:bCs/>
                <w:color w:val="000000" w:themeColor="text1"/>
                <w:kern w:val="24"/>
                <w:highlight w:val="cyan"/>
                <w:lang w:val="en-US"/>
                <w14:textFill>
                  <w14:solidFill>
                    <w14:schemeClr w14:val="tx1"/>
                  </w14:solidFill>
                </w14:textFill>
              </w:rPr>
              <m:t>P(E|ME)</m:t>
            </m:r>
            <m:r>
              <m:rPr>
                <m:nor/>
                <m:sty m:val="b"/>
              </m:rPr>
              <w:rPr>
                <w:rFonts w:eastAsia="Calibri"/>
                <w:b/>
                <w:bCs/>
                <w:color w:val="000000" w:themeColor="text1"/>
                <w:kern w:val="24"/>
                <w:position w:val="-7"/>
                <w:highlight w:val="cyan"/>
                <w:vertAlign w:val="subscript"/>
                <w:lang w:val="en-US"/>
                <w14:textFill>
                  <w14:solidFill>
                    <w14:schemeClr w14:val="tx1"/>
                  </w14:solidFill>
                </w14:textFill>
              </w:rPr>
              <m:t>c</m:t>
            </m:r>
            <m:ctrlPr>
              <w:rPr>
                <w:rFonts w:ascii="Cambria Math" w:hAnsi="Cambria Math"/>
                <w:b/>
                <w:i/>
                <w:iCs/>
                <w:color w:val="000000" w:themeColor="text1"/>
                <w:kern w:val="24"/>
                <w:highlight w:val="cyan"/>
                <w14:textFill>
                  <w14:solidFill>
                    <w14:schemeClr w14:val="tx1"/>
                  </w14:solidFill>
                </w14:textFill>
              </w:rPr>
            </m:ctrlPr>
          </m:num>
          <m:den>
            <m:eqArr>
              <m:eqArrPr>
                <m:ctrlPr>
                  <w:rPr>
                    <w:rFonts w:ascii="Cambria Math" w:hAnsi="Cambria Math"/>
                    <w:b/>
                    <w:bCs/>
                    <w:color w:val="000000" w:themeColor="text1"/>
                    <w:kern w:val="24"/>
                    <w:highlight w:val="cyan"/>
                    <w:lang w:val="en-US"/>
                    <w14:textFill>
                      <w14:solidFill>
                        <w14:schemeClr w14:val="tx1"/>
                      </w14:solidFill>
                    </w14:textFill>
                  </w:rPr>
                </m:ctrlPr>
              </m:eqArrPr>
              <m:e>
                <m:r>
                  <m:rPr>
                    <m:nor/>
                    <m:sty m:val="b"/>
                  </m:rPr>
                  <w:rPr>
                    <w:b/>
                    <w:bCs/>
                    <w:color w:val="000000" w:themeColor="text1"/>
                    <w:kern w:val="24"/>
                    <w:highlight w:val="cyan"/>
                    <w:lang w:val="en-US"/>
                    <w14:textFill>
                      <w14:solidFill>
                        <w14:schemeClr w14:val="tx1"/>
                      </w14:solidFill>
                    </w14:textFill>
                  </w:rPr>
                  <m:t>(1-</m:t>
                </m:r>
                <m:r>
                  <m:rPr>
                    <m:nor/>
                    <m:sty m:val="b"/>
                  </m:rPr>
                  <w:rPr>
                    <w:rFonts w:eastAsia="Calibri"/>
                    <w:b/>
                    <w:bCs/>
                    <w:color w:val="000000" w:themeColor="text1"/>
                    <w:kern w:val="24"/>
                    <w:highlight w:val="cyan"/>
                    <w:lang w:val="en-US"/>
                    <w14:textFill>
                      <w14:solidFill>
                        <w14:schemeClr w14:val="tx1"/>
                      </w14:solidFill>
                    </w14:textFill>
                  </w:rPr>
                  <m:t>Ptros)</m:t>
                </m:r>
                <m:r>
                  <m:rPr>
                    <m:nor/>
                    <m:sty m:val="b"/>
                  </m:rPr>
                  <w:rPr>
                    <w:rFonts w:ascii="Cambria Math" w:hAnsi="Cambria Math" w:eastAsia="Calibri" w:cs="Cambria Math"/>
                    <w:b/>
                    <w:bCs/>
                    <w:color w:val="000000" w:themeColor="text1"/>
                    <w:kern w:val="24"/>
                    <w:highlight w:val="cyan"/>
                    <w:lang w:val="en-US"/>
                    <w14:textFill>
                      <w14:solidFill>
                        <w14:schemeClr w14:val="tx1"/>
                      </w14:solidFill>
                    </w14:textFill>
                  </w:rPr>
                  <m:t>*</m:t>
                </m:r>
                <m:r>
                  <m:rPr>
                    <m:nor/>
                    <m:sty m:val="b"/>
                  </m:rPr>
                  <w:rPr>
                    <w:rFonts w:eastAsia="Calibri"/>
                    <w:b/>
                    <w:bCs/>
                    <w:color w:val="000000" w:themeColor="text1"/>
                    <w:kern w:val="24"/>
                    <w:highlight w:val="cyan"/>
                    <w:lang w:val="en-US"/>
                    <w14:textFill>
                      <w14:solidFill>
                        <w14:schemeClr w14:val="tx1"/>
                      </w14:solidFill>
                    </w14:textFill>
                  </w:rPr>
                  <m:t>P(E|ME)</m:t>
                </m:r>
                <m:r>
                  <m:rPr>
                    <m:nor/>
                    <m:sty m:val="b"/>
                  </m:rPr>
                  <w:rPr>
                    <w:rFonts w:eastAsia="Calibri"/>
                    <w:b/>
                    <w:bCs/>
                    <w:color w:val="000000" w:themeColor="text1"/>
                    <w:kern w:val="24"/>
                    <w:position w:val="-7"/>
                    <w:highlight w:val="cyan"/>
                    <w:lang w:val="en-US"/>
                    <w14:textFill>
                      <w14:solidFill>
                        <w14:schemeClr w14:val="tx1"/>
                      </w14:solidFill>
                    </w14:textFill>
                  </w:rPr>
                  <m:t>c</m:t>
                </m:r>
                <m:r>
                  <m:rPr>
                    <m:nor/>
                    <m:sty m:val="b"/>
                  </m:rPr>
                  <w:rPr>
                    <w:rFonts w:ascii="Cambria Math" w:eastAsia="Calibri"/>
                    <w:b/>
                    <w:bCs/>
                    <w:color w:val="000000" w:themeColor="text1"/>
                    <w:kern w:val="24"/>
                    <w:position w:val="-7"/>
                    <w:highlight w:val="cyan"/>
                    <w:lang w:val="en-US"/>
                    <w14:textFill>
                      <w14:solidFill>
                        <w14:schemeClr w14:val="tx1"/>
                      </w14:solidFill>
                    </w14:textFill>
                  </w:rPr>
                  <m:t xml:space="preserve"> </m:t>
                </m:r>
                <m:r>
                  <m:rPr>
                    <m:sty m:val="bi"/>
                  </m:rPr>
                  <w:rPr>
                    <w:rFonts w:ascii="Cambria Math" w:hAnsi="Cambria Math"/>
                    <w:color w:val="000000" w:themeColor="text1"/>
                    <w:kern w:val="24"/>
                    <w:highlight w:val="cyan"/>
                    <w:lang w:val="en-US"/>
                    <w14:textFill>
                      <w14:solidFill>
                        <w14:schemeClr w14:val="tx1"/>
                      </w14:solidFill>
                    </w14:textFill>
                  </w:rPr>
                  <m:t xml:space="preserve">+ </m:t>
                </m:r>
                <m:r>
                  <m:rPr>
                    <m:sty m:val="b"/>
                  </m:rPr>
                  <w:rPr>
                    <w:rFonts w:ascii="Cambria Math" w:hAnsi="Cambria Math"/>
                    <w:color w:val="000000" w:themeColor="text1"/>
                    <w:kern w:val="24"/>
                    <w:highlight w:val="cyan"/>
                    <w14:textFill>
                      <w14:solidFill>
                        <w14:schemeClr w14:val="tx1"/>
                      </w14:solidFill>
                    </w14:textFill>
                  </w:rPr>
                  <m:t>Ptros</m:t>
                </m:r>
                <m:r>
                  <m:rPr>
                    <m:sty m:val="b"/>
                  </m:rPr>
                  <w:rPr>
                    <w:rFonts w:ascii="Cambria Math" w:hAnsi="Cambria Math"/>
                    <w:color w:val="000000" w:themeColor="text1"/>
                    <w:kern w:val="24"/>
                    <w:highlight w:val="cyan"/>
                    <w:lang w:val="en-US"/>
                    <w14:textFill>
                      <w14:solidFill>
                        <w14:schemeClr w14:val="tx1"/>
                      </w14:solidFill>
                    </w14:textFill>
                  </w:rPr>
                  <m:t>*(</m:t>
                </m:r>
                <m:r>
                  <m:rPr>
                    <m:nor/>
                    <m:sty m:val="b"/>
                  </m:rPr>
                  <w:rPr>
                    <w:rFonts w:eastAsia="Calibri"/>
                    <w:b/>
                    <w:bCs/>
                    <w:color w:val="000000" w:themeColor="text1"/>
                    <w:kern w:val="24"/>
                    <w:highlight w:val="cyan"/>
                    <w:lang w:val="en-US"/>
                    <w14:textFill>
                      <w14:solidFill>
                        <w14:schemeClr w14:val="tx1"/>
                      </w14:solidFill>
                    </w14:textFill>
                  </w:rPr>
                  <m:t>1</m:t>
                </m:r>
                <m:r>
                  <m:rPr>
                    <m:nor/>
                    <m:sty m:val="b"/>
                  </m:rPr>
                  <w:rPr>
                    <w:rFonts w:eastAsia="Calibri"/>
                    <w:b/>
                    <w:bCs/>
                    <w:color w:val="000000" w:themeColor="text1"/>
                    <w:kern w:val="24"/>
                    <w:highlight w:val="cyan"/>
                    <w:vertAlign w:val="subscript"/>
                    <w:lang w:val="en-US"/>
                    <w14:textFill>
                      <w14:solidFill>
                        <w14:schemeClr w14:val="tx1"/>
                      </w14:solidFill>
                    </w14:textFill>
                  </w:rPr>
                  <m:t xml:space="preserve"> </m:t>
                </m:r>
                <m:r>
                  <m:rPr>
                    <m:nor/>
                    <m:sty m:val="b"/>
                  </m:rPr>
                  <w:rPr>
                    <w:rFonts w:eastAsia="Calibri"/>
                    <w:b/>
                    <w:bCs/>
                    <w:color w:val="000000" w:themeColor="text1"/>
                    <w:kern w:val="24"/>
                    <w:highlight w:val="cyan"/>
                    <w:lang w:val="en-US"/>
                    <w14:textFill>
                      <w14:solidFill>
                        <w14:schemeClr w14:val="tx1"/>
                      </w14:solidFill>
                    </w14:textFill>
                  </w:rPr>
                  <m:t>- P(</m:t>
                </m:r>
                <m:r>
                  <m:rPr>
                    <m:nor/>
                    <m:sty m:val="b"/>
                  </m:rPr>
                  <w:rPr>
                    <w:rFonts w:eastAsia="Calibri"/>
                    <w:b/>
                    <w:bCs/>
                    <w:color w:val="000000" w:themeColor="text1"/>
                    <w:kern w:val="24"/>
                    <w:highlight w:val="cyan"/>
                    <w14:textFill>
                      <w14:solidFill>
                        <w14:schemeClr w14:val="tx1"/>
                      </w14:solidFill>
                    </w14:textFill>
                  </w:rPr>
                  <m:t>Т</m:t>
                </m:r>
                <m:r>
                  <m:rPr>
                    <m:nor/>
                    <m:sty m:val="b"/>
                  </m:rPr>
                  <w:rPr>
                    <w:rFonts w:eastAsia="Calibri"/>
                    <w:b/>
                    <w:bCs/>
                    <w:color w:val="000000" w:themeColor="text1"/>
                    <w:kern w:val="24"/>
                    <w:highlight w:val="cyan"/>
                    <w:lang w:val="en-US"/>
                    <w14:textFill>
                      <w14:solidFill>
                        <w14:schemeClr w14:val="tx1"/>
                      </w14:solidFill>
                    </w14:textFill>
                  </w:rPr>
                  <m:t>|MT)</m:t>
                </m:r>
                <m:r>
                  <m:rPr>
                    <m:nor/>
                    <m:sty m:val="b"/>
                  </m:rPr>
                  <w:rPr>
                    <w:rFonts w:eastAsia="Calibri"/>
                    <w:b/>
                    <w:bCs/>
                    <w:color w:val="000000" w:themeColor="text1"/>
                    <w:kern w:val="24"/>
                    <w:highlight w:val="cyan"/>
                    <w:vertAlign w:val="subscript"/>
                    <w:lang w:val="en-US"/>
                    <w14:textFill>
                      <w14:solidFill>
                        <w14:schemeClr w14:val="tx1"/>
                      </w14:solidFill>
                    </w14:textFill>
                  </w:rPr>
                  <m:t xml:space="preserve">c </m:t>
                </m:r>
                <m:r>
                  <m:rPr>
                    <m:nor/>
                    <m:sty m:val="b"/>
                  </m:rPr>
                  <w:rPr>
                    <w:rFonts w:eastAsia="Calibri"/>
                    <w:b/>
                    <w:bCs/>
                    <w:color w:val="000000" w:themeColor="text1"/>
                    <w:kern w:val="24"/>
                    <w:highlight w:val="cyan"/>
                    <w:lang w:val="en-US"/>
                    <w14:textFill>
                      <w14:solidFill>
                        <w14:schemeClr w14:val="tx1"/>
                      </w14:solidFill>
                    </w14:textFill>
                  </w:rPr>
                  <m:t>)</m:t>
                </m:r>
                <m:ctrlPr>
                  <w:rPr>
                    <w:rFonts w:ascii="Cambria Math" w:hAnsi="Cambria Math" w:eastAsia="Calibri"/>
                    <w:b/>
                    <w:bCs/>
                    <w:color w:val="000000" w:themeColor="text1"/>
                    <w:kern w:val="24"/>
                    <w:position w:val="-7"/>
                    <w:highlight w:val="cyan"/>
                    <w:lang w:val="en-US"/>
                    <w14:textFill>
                      <w14:solidFill>
                        <w14:schemeClr w14:val="tx1"/>
                      </w14:solidFill>
                    </w14:textFill>
                  </w:rPr>
                </m:ctrlPr>
              </m:e>
              <m:e>
                <m:ctrlPr>
                  <w:rPr>
                    <w:rFonts w:ascii="Cambria Math" w:hAnsi="Cambria Math" w:eastAsia="Cambria Math" w:cs="Cambria Math"/>
                    <w:b/>
                    <w:bCs/>
                    <w:color w:val="000000" w:themeColor="text1"/>
                    <w:kern w:val="24"/>
                    <w:highlight w:val="cyan"/>
                    <w:lang w:val="en-US"/>
                    <w14:textFill>
                      <w14:solidFill>
                        <w14:schemeClr w14:val="tx1"/>
                      </w14:solidFill>
                    </w14:textFill>
                  </w:rPr>
                </m:ctrlPr>
              </m:e>
              <m:e>
                <m:ctrlPr>
                  <w:rPr>
                    <w:rFonts w:ascii="Cambria Math" w:hAnsi="Cambria Math" w:eastAsia="Cambria Math" w:cs="Cambria Math"/>
                    <w:b/>
                    <w:bCs/>
                    <w:color w:val="000000" w:themeColor="text1"/>
                    <w:kern w:val="24"/>
                    <w:highlight w:val="cyan"/>
                    <w:lang w:val="en-US"/>
                    <w14:textFill>
                      <w14:solidFill>
                        <w14:schemeClr w14:val="tx1"/>
                      </w14:solidFill>
                    </w14:textFill>
                  </w:rPr>
                </m:ctrlPr>
              </m:e>
              <m:e>
                <m:ctrlPr>
                  <w:rPr>
                    <w:rFonts w:ascii="Cambria Math" w:hAnsi="Cambria Math" w:eastAsia="Calibri"/>
                    <w:b/>
                    <w:bCs/>
                    <w:color w:val="000000" w:themeColor="text1"/>
                    <w:kern w:val="24"/>
                    <w:highlight w:val="cyan"/>
                    <w:lang w:val="en-US"/>
                    <w14:textFill>
                      <w14:solidFill>
                        <w14:schemeClr w14:val="tx1"/>
                      </w14:solidFill>
                    </w14:textFill>
                  </w:rPr>
                </m:ctrlPr>
              </m:e>
            </m:eqArr>
            <m:ctrlPr>
              <w:rPr>
                <w:rFonts w:ascii="Cambria Math" w:hAnsi="Cambria Math"/>
                <w:b/>
                <w:i/>
                <w:iCs/>
                <w:color w:val="000000" w:themeColor="text1"/>
                <w:kern w:val="24"/>
                <w:highlight w:val="cyan"/>
                <w14:textFill>
                  <w14:solidFill>
                    <w14:schemeClr w14:val="tx1"/>
                  </w14:solidFill>
                </w14:textFill>
              </w:rPr>
            </m:ctrlPr>
          </m:den>
        </m:f>
      </m:oMath>
      <w:r>
        <w:rPr>
          <w:rFonts w:eastAsia="Calibri"/>
          <w:b/>
          <w:iCs/>
          <w:color w:val="000000" w:themeColor="text1"/>
          <w:kern w:val="24"/>
          <w:highlight w:val="cyan"/>
          <w:lang w:val="en-US"/>
          <w14:textFill>
            <w14:solidFill>
              <w14:schemeClr w14:val="tx1"/>
            </w14:solidFill>
          </w14:textFill>
        </w:rPr>
        <w:t xml:space="preserve">                                              (2b)</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rFonts w:hint="default"/>
          <w:bCs/>
          <w:color w:val="222222"/>
          <w:highlight w:val="cyan"/>
          <w:shd w:val="clear" w:color="auto" w:fill="FFFFFF"/>
          <w:lang w:val="en-US"/>
        </w:rPr>
      </w:pPr>
      <w:r>
        <w:rPr>
          <w:rFonts w:hint="default"/>
          <w:bCs/>
          <w:color w:val="222222"/>
          <w:highlight w:val="cyan"/>
          <w:shd w:val="clear" w:color="auto" w:fill="FFFFFF"/>
          <w:lang w:val="en-US"/>
        </w:rPr>
        <w:t xml:space="preserve">The question, however, arise: how to perform rationally the samples for calibrating? To answer this question we pooled together W and BL parts of modelling data set (the rationale for such pooling is given in SEM </w:t>
      </w:r>
      <w:r>
        <w:rPr>
          <w:rFonts w:hint="default"/>
          <w:bCs/>
          <w:color w:val="222222"/>
          <w:highlight w:val="cyan"/>
          <w:shd w:val="clear" w:color="auto" w:fill="FFFFFF"/>
          <w:lang w:val="ru-RU"/>
        </w:rPr>
        <w:t>здесь, в приложении,  мы дадим все выкладки про то</w:t>
      </w:r>
      <w:r>
        <w:rPr>
          <w:rFonts w:hint="default"/>
          <w:bCs/>
          <w:color w:val="222222"/>
          <w:highlight w:val="cyan"/>
          <w:shd w:val="clear" w:color="auto" w:fill="FFFFFF"/>
          <w:lang w:val="en-US"/>
        </w:rPr>
        <w:t>,</w:t>
      </w:r>
      <w:r>
        <w:rPr>
          <w:rFonts w:hint="default"/>
          <w:bCs/>
          <w:color w:val="222222"/>
          <w:highlight w:val="cyan"/>
          <w:shd w:val="clear" w:color="auto" w:fill="FFFFFF"/>
          <w:lang w:val="ru-RU"/>
        </w:rPr>
        <w:t xml:space="preserve"> почему такое объединение возможно</w:t>
      </w:r>
      <w:r>
        <w:rPr>
          <w:rFonts w:hint="default"/>
          <w:bCs/>
          <w:color w:val="222222"/>
          <w:highlight w:val="cyan"/>
          <w:shd w:val="clear" w:color="auto" w:fill="FFFFFF"/>
          <w:lang w:val="en-US"/>
        </w:rPr>
        <w:t xml:space="preserve">) and used this data to construct two new regression models (hereafter denoting as “reference regression models”).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rFonts w:hint="default"/>
          <w:i w:val="0"/>
          <w:iCs/>
          <w:highlight w:val="cyan"/>
          <w:lang w:val="en-US"/>
        </w:rPr>
      </w:pPr>
      <w:r>
        <w:rPr>
          <w:i/>
          <w:highlight w:val="cyan"/>
          <w:lang w:val="en-US"/>
        </w:rPr>
        <w:t xml:space="preserve">Reference model 1 </w:t>
      </w:r>
      <w:r>
        <w:rPr>
          <w:i w:val="0"/>
          <w:iCs/>
          <w:highlight w:val="cyan"/>
          <w:lang w:val="en-US"/>
        </w:rPr>
        <w:t xml:space="preserve">aimed to predict taxonomic structure based on morphotype proportions in populations. </w:t>
      </w:r>
      <w:r>
        <w:rPr>
          <w:i/>
          <w:highlight w:val="cyan"/>
          <w:lang w:val="en-US"/>
        </w:rPr>
        <w:t xml:space="preserve">Reference model 2 </w:t>
      </w:r>
      <w:r>
        <w:rPr>
          <w:iCs/>
          <w:highlight w:val="cyan"/>
          <w:lang w:val="en-US"/>
        </w:rPr>
        <w:t xml:space="preserve"> </w:t>
      </w:r>
      <w:r>
        <w:rPr>
          <w:i w:val="0"/>
          <w:iCs/>
          <w:highlight w:val="cyan"/>
          <w:lang w:val="en-US"/>
        </w:rPr>
        <w:t>aimed to predict the probability of correct species identification by morphotype</w:t>
      </w:r>
      <w:r>
        <w:rPr>
          <w:i/>
          <w:highlight w:val="cyan"/>
          <w:lang w:val="en-US"/>
        </w:rPr>
        <w:t xml:space="preserve">. </w:t>
      </w:r>
      <w:r>
        <w:rPr>
          <w:iCs/>
          <w:highlight w:val="cyan"/>
          <w:lang w:val="en-US"/>
        </w:rPr>
        <w:t xml:space="preserve">The structures of these models were </w:t>
      </w:r>
      <w:r>
        <w:rPr>
          <w:highlight w:val="cyan"/>
          <w:lang w:val="en-US"/>
        </w:rPr>
        <w:t xml:space="preserve">analogous to </w:t>
      </w:r>
      <w:r>
        <w:rPr>
          <w:i/>
          <w:highlight w:val="cyan"/>
          <w:lang w:val="en-US"/>
        </w:rPr>
        <w:t xml:space="preserve">Model 5 </w:t>
      </w:r>
      <w:r>
        <w:rPr>
          <w:i w:val="0"/>
          <w:iCs/>
          <w:highlight w:val="cyan"/>
          <w:lang w:val="en-US"/>
        </w:rPr>
        <w:t xml:space="preserve">and  Model 4  correspondingly </w:t>
      </w:r>
      <w:r>
        <w:rPr>
          <w:b w:val="0"/>
          <w:bCs w:val="0"/>
          <w:i w:val="0"/>
          <w:iCs/>
          <w:highlight w:val="cyan"/>
          <w:lang w:val="en-US"/>
        </w:rPr>
        <w:t xml:space="preserve">but </w:t>
      </w:r>
      <w:r>
        <w:rPr>
          <w:i w:val="0"/>
          <w:iCs/>
          <w:highlight w:val="cyan"/>
          <w:lang w:val="en-US"/>
        </w:rPr>
        <w:t xml:space="preserve"> predictor </w:t>
      </w:r>
      <w:r>
        <w:rPr>
          <w:rFonts w:hint="default"/>
          <w:i w:val="0"/>
          <w:iCs/>
          <w:highlight w:val="cyan"/>
          <w:lang w:val="en-US"/>
        </w:rPr>
        <w:t xml:space="preserve">“Subset” was removed from the reference models. </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rFonts w:hint="default"/>
          <w:i w:val="0"/>
          <w:iCs/>
          <w:highlight w:val="cyan"/>
          <w:lang w:val="en-US"/>
        </w:rPr>
      </w:pPr>
    </w:p>
    <w:p>
      <w:pPr>
        <w:pStyle w:val="7"/>
        <w:keepNext w:val="0"/>
        <w:keepLines w:val="0"/>
        <w:pageBreakBefore w:val="0"/>
        <w:widowControl/>
        <w:numPr>
          <w:numId w:val="0"/>
        </w:numPr>
        <w:kinsoku/>
        <w:wordWrap/>
        <w:overflowPunct/>
        <w:topLinePunct w:val="0"/>
        <w:autoSpaceDE/>
        <w:autoSpaceDN/>
        <w:bidi w:val="0"/>
        <w:adjustRightInd/>
        <w:snapToGrid/>
        <w:spacing w:line="480" w:lineRule="auto"/>
        <w:textAlignment w:val="auto"/>
        <w:outlineLvl w:val="9"/>
        <w:rPr>
          <w:bCs/>
          <w:color w:val="222222"/>
          <w:highlight w:val="cyan"/>
          <w:shd w:val="clear" w:color="auto" w:fill="FFFFFF"/>
          <w:lang w:val="en-US"/>
        </w:rPr>
      </w:pPr>
      <w:r>
        <w:rPr>
          <w:bCs/>
          <w:color w:val="222222"/>
          <w:highlight w:val="cyan"/>
          <w:shd w:val="clear" w:color="auto" w:fill="FFFFFF"/>
          <w:lang w:val="en-US"/>
        </w:rPr>
        <w:t xml:space="preserve">We assumed that acceptable calibrating samples are those one using of which  the theoretical models produce the predictions most similar to predictions of reference regression models. Additionally we assumed that calibrating samples should be taken from at least two populations. Two scenario of choosing of calibrating population  could be considered. The first one - both populations could be maximally differ in their genetic structure (one population is dominated by M.edulis but another one by M.trossulus). The second scenario - both populations are maximally mixed (proportion of M.trossulus in both populations is close to 0.5). To assess the similarity of genetic structure we used the index represented by Eq. 3. The Similarity index approaches to 1 if proportion of M.trossulus in both populations is differ. When the proportion of M.trossulus is close to 0.5 then the similarity index approaches to 0.25.  </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Cs/>
          <w:color w:val="222222"/>
          <w:highlight w:val="cyan"/>
          <w:shd w:val="clear" w:color="auto" w:fill="FFFFFF"/>
          <w:lang w:val="en-US"/>
        </w:rPr>
      </w:pPr>
    </w:p>
    <w:p>
      <w:pPr>
        <w:keepNext w:val="0"/>
        <w:keepLines w:val="0"/>
        <w:pageBreakBefore w:val="0"/>
        <w:widowControl/>
        <w:kinsoku/>
        <w:wordWrap/>
        <w:overflowPunct/>
        <w:topLinePunct w:val="0"/>
        <w:autoSpaceDE/>
        <w:autoSpaceDN/>
        <w:bidi w:val="0"/>
        <w:adjustRightInd/>
        <w:snapToGrid/>
        <w:spacing w:line="480" w:lineRule="auto"/>
        <w:jc w:val="right"/>
        <w:textAlignment w:val="auto"/>
        <w:outlineLvl w:val="9"/>
        <w:rPr>
          <w:b/>
          <w:highlight w:val="cyan"/>
          <w:lang w:val="en-US"/>
        </w:rPr>
      </w:pPr>
      <w:r>
        <w:rPr>
          <w:b/>
          <w:bCs/>
          <w:color w:val="222222"/>
          <w:highlight w:val="cyan"/>
          <w:shd w:val="clear" w:color="auto" w:fill="FFFFFF"/>
          <w:lang w:val="en-US"/>
        </w:rPr>
        <w:t xml:space="preserve">Similarity index = </w:t>
      </w:r>
      <w:r>
        <w:rPr>
          <w:b/>
          <w:highlight w:val="cyan"/>
          <w:lang w:val="en-US"/>
        </w:rPr>
        <w:t>max(P</w:t>
      </w:r>
      <w:r>
        <w:rPr>
          <w:b/>
          <w:highlight w:val="cyan"/>
          <w:vertAlign w:val="subscript"/>
          <w:lang w:val="en-US"/>
        </w:rPr>
        <w:t>tros1</w:t>
      </w:r>
      <w:r>
        <w:rPr>
          <w:b/>
          <w:highlight w:val="cyan"/>
          <w:lang w:val="en-US"/>
        </w:rPr>
        <w:t>;P</w:t>
      </w:r>
      <w:r>
        <w:rPr>
          <w:b/>
          <w:highlight w:val="cyan"/>
          <w:vertAlign w:val="subscript"/>
          <w:lang w:val="en-US"/>
        </w:rPr>
        <w:t>tros2</w:t>
      </w:r>
      <w:r>
        <w:rPr>
          <w:b/>
          <w:highlight w:val="cyan"/>
          <w:lang w:val="en-US"/>
        </w:rPr>
        <w:t>)(1 - min(P</w:t>
      </w:r>
      <w:r>
        <w:rPr>
          <w:b/>
          <w:highlight w:val="cyan"/>
          <w:vertAlign w:val="subscript"/>
          <w:lang w:val="en-US"/>
        </w:rPr>
        <w:t>tros1</w:t>
      </w:r>
      <w:r>
        <w:rPr>
          <w:b/>
          <w:highlight w:val="cyan"/>
          <w:lang w:val="en-US"/>
        </w:rPr>
        <w:t>;P</w:t>
      </w:r>
      <w:r>
        <w:rPr>
          <w:b/>
          <w:highlight w:val="cyan"/>
          <w:vertAlign w:val="subscript"/>
          <w:lang w:val="en-US"/>
        </w:rPr>
        <w:t>tros2</w:t>
      </w:r>
      <w:r>
        <w:rPr>
          <w:b/>
          <w:highlight w:val="cyan"/>
          <w:lang w:val="en-US"/>
        </w:rPr>
        <w:t>)                              (3)</w:t>
      </w:r>
    </w:p>
    <w:p>
      <w:pPr>
        <w:pStyle w:val="7"/>
        <w:keepNext w:val="0"/>
        <w:keepLines w:val="0"/>
        <w:pageBreakBefore w:val="0"/>
        <w:widowControl/>
        <w:numPr>
          <w:numId w:val="0"/>
        </w:numPr>
        <w:kinsoku/>
        <w:wordWrap/>
        <w:overflowPunct/>
        <w:topLinePunct w:val="0"/>
        <w:autoSpaceDE/>
        <w:autoSpaceDN/>
        <w:bidi w:val="0"/>
        <w:adjustRightInd/>
        <w:snapToGrid/>
        <w:spacing w:line="480" w:lineRule="auto"/>
        <w:ind w:firstLine="700" w:firstLineChars="0"/>
        <w:textAlignment w:val="auto"/>
        <w:outlineLvl w:val="9"/>
        <w:rPr>
          <w:bCs/>
          <w:color w:val="222222"/>
          <w:highlight w:val="cyan"/>
          <w:shd w:val="clear" w:color="auto" w:fill="FFFFFF"/>
          <w:lang w:val="en-US"/>
        </w:rPr>
      </w:pPr>
    </w:p>
    <w:p>
      <w:pPr>
        <w:pStyle w:val="7"/>
        <w:keepNext w:val="0"/>
        <w:keepLines w:val="0"/>
        <w:pageBreakBefore w:val="0"/>
        <w:widowControl/>
        <w:numPr>
          <w:numId w:val="0"/>
        </w:numPr>
        <w:kinsoku/>
        <w:wordWrap/>
        <w:overflowPunct/>
        <w:topLinePunct w:val="0"/>
        <w:autoSpaceDE/>
        <w:autoSpaceDN/>
        <w:bidi w:val="0"/>
        <w:adjustRightInd/>
        <w:snapToGrid/>
        <w:spacing w:line="480" w:lineRule="auto"/>
        <w:ind w:firstLine="700" w:firstLineChars="0"/>
        <w:textAlignment w:val="auto"/>
        <w:outlineLvl w:val="9"/>
        <w:rPr>
          <w:highlight w:val="cyan"/>
          <w:lang w:val="en-US"/>
        </w:rPr>
      </w:pPr>
      <w:r>
        <w:rPr>
          <w:bCs/>
          <w:color w:val="222222"/>
          <w:highlight w:val="cyan"/>
          <w:shd w:val="clear" w:color="auto" w:fill="FFFFFF"/>
          <w:lang w:val="en-US"/>
        </w:rPr>
        <w:t xml:space="preserve">We </w:t>
      </w:r>
      <w:r>
        <w:rPr>
          <w:highlight w:val="cyan"/>
          <w:lang w:val="en-US"/>
        </w:rPr>
        <w:t xml:space="preserve">found all possible pairs of populations  from combined W and BL dataset (++++ possible pairs). For each pair we calculated P(T|MT) and P(E|ME). Next, using these values we calculated predictions of Theoretical model 1 for all possible PT. We represented the possible PT  as a vector of numbers from 0 to 1with standard step equal to 0.01. However the number of elements in this vector (N) could be lesser than 101 for particular combinations of populations, since some values of PT may be deprecated due to Eq.1 limitations (see SEM ++++ </w:t>
      </w:r>
      <w:r>
        <w:rPr>
          <w:highlight w:val="cyan"/>
          <w:lang w:val="ru-RU"/>
        </w:rPr>
        <w:t xml:space="preserve">не знаю как короче сказать, возможно более подробное объяснение надо выводить в </w:t>
      </w:r>
      <w:r>
        <w:rPr>
          <w:highlight w:val="cyan"/>
          <w:lang w:val="en-US"/>
        </w:rPr>
        <w:t>SEM). Using the same vector of PT we calculated predictions of Reference model 1.  After the predictions of both models were calculated  we assessed the goodness of correspondence between Reference model 1 and Theoretical model 1 using the Eq 4. The</w:t>
      </w:r>
      <w:r>
        <w:rPr>
          <w:highlight w:val="cyan"/>
          <w:lang w:val="ru-RU"/>
        </w:rPr>
        <w:t xml:space="preserve"> </w:t>
      </w:r>
      <w:r>
        <w:rPr>
          <w:highlight w:val="cyan"/>
          <w:lang w:val="en-US"/>
        </w:rPr>
        <w:t xml:space="preserve">algorithm described above was applied for each possible pairs of populations. The results were graphically represented as a plot of Goodness against  Similarity index.  </w:t>
      </w:r>
    </w:p>
    <w:p>
      <w:pPr>
        <w:pStyle w:val="7"/>
        <w:keepNext w:val="0"/>
        <w:keepLines w:val="0"/>
        <w:pageBreakBefore w:val="0"/>
        <w:widowControl/>
        <w:numPr>
          <w:numId w:val="0"/>
        </w:numPr>
        <w:kinsoku/>
        <w:wordWrap/>
        <w:overflowPunct/>
        <w:topLinePunct w:val="0"/>
        <w:autoSpaceDE/>
        <w:autoSpaceDN/>
        <w:bidi w:val="0"/>
        <w:adjustRightInd/>
        <w:snapToGrid/>
        <w:spacing w:line="480" w:lineRule="auto"/>
        <w:textAlignment w:val="auto"/>
        <w:outlineLvl w:val="9"/>
        <w:rPr>
          <w:highlight w:val="cyan"/>
          <w:lang w:val="en-US"/>
        </w:rPr>
      </w:pPr>
    </w:p>
    <w:p>
      <w:pPr>
        <w:pStyle w:val="7"/>
        <w:keepNext w:val="0"/>
        <w:keepLines w:val="0"/>
        <w:pageBreakBefore w:val="0"/>
        <w:widowControl/>
        <w:numPr>
          <w:numId w:val="0"/>
        </w:numPr>
        <w:kinsoku/>
        <w:wordWrap/>
        <w:overflowPunct/>
        <w:topLinePunct w:val="0"/>
        <w:autoSpaceDE/>
        <w:autoSpaceDN/>
        <w:bidi w:val="0"/>
        <w:adjustRightInd/>
        <w:snapToGrid/>
        <w:spacing w:line="480" w:lineRule="auto"/>
        <w:ind w:firstLine="700" w:firstLineChars="0"/>
        <w:textAlignment w:val="auto"/>
        <w:outlineLvl w:val="9"/>
        <w:rPr>
          <w:highlight w:val="cyan"/>
          <w:lang w:val="en-US"/>
        </w:rPr>
      </w:pPr>
      <w:r>
        <w:rPr>
          <w:b/>
          <w:highlight w:val="cyan"/>
          <w:lang w:val="en-US"/>
        </w:rPr>
        <w:t>Goodness = 1 / (</w:t>
      </w:r>
      <w:r>
        <w:rPr>
          <w:rFonts w:ascii="Calibri" w:hAnsi="Calibri" w:cs="Calibri"/>
          <w:b/>
          <w:highlight w:val="cyan"/>
          <w:lang w:val="en-US"/>
        </w:rPr>
        <w:t>Σ</w:t>
      </w:r>
      <w:r>
        <w:rPr>
          <w:b/>
          <w:highlight w:val="cyan"/>
          <w:lang w:val="en-US"/>
        </w:rPr>
        <w:t>(Reference prediction</w:t>
      </w:r>
      <w:r>
        <w:rPr>
          <w:b/>
          <w:highlight w:val="cyan"/>
          <w:vertAlign w:val="subscript"/>
          <w:lang w:val="en-US"/>
        </w:rPr>
        <w:t xml:space="preserve">  </w:t>
      </w:r>
      <w:r>
        <w:rPr>
          <w:b/>
          <w:highlight w:val="cyan"/>
          <w:lang w:val="en-US"/>
        </w:rPr>
        <w:t>- Theoretical prediction)</w:t>
      </w:r>
      <w:r>
        <w:rPr>
          <w:b/>
          <w:highlight w:val="cyan"/>
          <w:vertAlign w:val="superscript"/>
          <w:lang w:val="en-US"/>
        </w:rPr>
        <w:t>2</w:t>
      </w:r>
      <w:r>
        <w:rPr>
          <w:b/>
          <w:highlight w:val="cyan"/>
          <w:vertAlign w:val="baseline"/>
          <w:lang w:val="en-US"/>
        </w:rPr>
        <w:t>/N</w:t>
      </w:r>
      <w:r>
        <w:rPr>
          <w:b/>
          <w:highlight w:val="cyan"/>
          <w:lang w:val="en-US"/>
        </w:rPr>
        <w:t xml:space="preserve">)  (4)    </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b w:val="0"/>
          <w:bCs/>
          <w:highlight w:val="cyan"/>
          <w:lang w:val="en-US"/>
        </w:rPr>
      </w:pPr>
      <w:r>
        <w:rPr>
          <w:b w:val="0"/>
          <w:bCs/>
          <w:highlight w:val="cyan"/>
          <w:lang w:val="en-US"/>
        </w:rPr>
        <w:t xml:space="preserve">Algorithm analogous to described above was applied for Theoretical model 2 and Reference model 2, but instead of possible PT we considered the vector of possible Ptros. </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highlight w:val="cyan"/>
          <w:lang w:val="en-US"/>
        </w:rPr>
      </w:pP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ab/>
      </w:r>
      <w:bookmarkStart w:id="0" w:name="_GoBack"/>
      <w:bookmarkEnd w:id="0"/>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olyd" w:date="2019-12-05T18:38:28Z" w:initials="p">
    <w:p w14:paraId="5ACB0E4E">
      <w:pPr>
        <w:pStyle w:val="2"/>
        <w:rPr>
          <w:lang w:val="ru-RU"/>
        </w:rPr>
      </w:pPr>
      <w:r>
        <w:rPr>
          <w:lang w:val="ru-RU"/>
        </w:rPr>
        <w:t xml:space="preserve">Может вообще про это не писать? Просто знаем, что там низкая соленость. </w:t>
      </w:r>
    </w:p>
  </w:comment>
  <w:comment w:id="1" w:author="polyd" w:date="2019-12-10T23:13:42Z" w:initials="p">
    <w:p w14:paraId="2FF018F9">
      <w:pPr>
        <w:pStyle w:val="2"/>
        <w:rPr>
          <w:strike/>
          <w:dstrike w:val="0"/>
          <w:lang w:val="ru-RU"/>
        </w:rPr>
      </w:pPr>
      <w:r>
        <w:rPr>
          <w:lang w:val="ru-RU"/>
        </w:rPr>
        <w:t xml:space="preserve">Не очень хороший термин. А остальные что не имеют отношения к географии. </w:t>
      </w:r>
    </w:p>
  </w:comment>
  <w:comment w:id="2" w:author="polyd" w:date="2019-12-11T00:04:06Z" w:initials="p">
    <w:p w14:paraId="6AE30134">
      <w:pPr>
        <w:pStyle w:val="2"/>
        <w:rPr>
          <w:lang w:val="ru-RU"/>
        </w:rPr>
      </w:pPr>
      <w:r>
        <w:rPr>
          <w:lang w:val="ru-RU"/>
        </w:rPr>
        <w:t>При таком подходе эти все термины надо перенсти в таблицу.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ACB0E4E" w15:done="0"/>
  <w15:commentEx w15:paraId="2FF018F9" w15:done="0"/>
  <w15:commentEx w15:paraId="6AE301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66"/>
    <w:rsid w:val="00017A66"/>
    <w:rsid w:val="000441D5"/>
    <w:rsid w:val="000642E6"/>
    <w:rsid w:val="00066D65"/>
    <w:rsid w:val="000A1302"/>
    <w:rsid w:val="000C3E09"/>
    <w:rsid w:val="00145CA2"/>
    <w:rsid w:val="001553E6"/>
    <w:rsid w:val="001557ED"/>
    <w:rsid w:val="001711C5"/>
    <w:rsid w:val="00254494"/>
    <w:rsid w:val="002567C9"/>
    <w:rsid w:val="00272795"/>
    <w:rsid w:val="00282BE5"/>
    <w:rsid w:val="00293D2C"/>
    <w:rsid w:val="002B5289"/>
    <w:rsid w:val="00333DC6"/>
    <w:rsid w:val="00350909"/>
    <w:rsid w:val="0037545A"/>
    <w:rsid w:val="003B1E18"/>
    <w:rsid w:val="003D49E4"/>
    <w:rsid w:val="00402AC6"/>
    <w:rsid w:val="004772E2"/>
    <w:rsid w:val="004C2597"/>
    <w:rsid w:val="004C4B27"/>
    <w:rsid w:val="00546850"/>
    <w:rsid w:val="00596613"/>
    <w:rsid w:val="005C43D2"/>
    <w:rsid w:val="00600DF2"/>
    <w:rsid w:val="00621D35"/>
    <w:rsid w:val="00631AB6"/>
    <w:rsid w:val="00635566"/>
    <w:rsid w:val="00645CD2"/>
    <w:rsid w:val="00653523"/>
    <w:rsid w:val="00657487"/>
    <w:rsid w:val="006964B7"/>
    <w:rsid w:val="0069767B"/>
    <w:rsid w:val="006C2A17"/>
    <w:rsid w:val="007160DF"/>
    <w:rsid w:val="00724F7F"/>
    <w:rsid w:val="00743373"/>
    <w:rsid w:val="007518FB"/>
    <w:rsid w:val="007A4615"/>
    <w:rsid w:val="007A6143"/>
    <w:rsid w:val="007D15EF"/>
    <w:rsid w:val="007E6BB3"/>
    <w:rsid w:val="0080548E"/>
    <w:rsid w:val="008357F1"/>
    <w:rsid w:val="008374BA"/>
    <w:rsid w:val="00875691"/>
    <w:rsid w:val="00894763"/>
    <w:rsid w:val="008A1F4C"/>
    <w:rsid w:val="00904377"/>
    <w:rsid w:val="00922BE9"/>
    <w:rsid w:val="00944413"/>
    <w:rsid w:val="00993C4B"/>
    <w:rsid w:val="009A1F82"/>
    <w:rsid w:val="009A5F11"/>
    <w:rsid w:val="009D71C6"/>
    <w:rsid w:val="00A05A92"/>
    <w:rsid w:val="00A369E0"/>
    <w:rsid w:val="00A61AF1"/>
    <w:rsid w:val="00A740DC"/>
    <w:rsid w:val="00A82C95"/>
    <w:rsid w:val="00A85B8E"/>
    <w:rsid w:val="00A935F8"/>
    <w:rsid w:val="00AA3856"/>
    <w:rsid w:val="00AC5F09"/>
    <w:rsid w:val="00AE3814"/>
    <w:rsid w:val="00B74A9E"/>
    <w:rsid w:val="00BD4F51"/>
    <w:rsid w:val="00BE70BA"/>
    <w:rsid w:val="00C12C23"/>
    <w:rsid w:val="00C65A81"/>
    <w:rsid w:val="00C928EB"/>
    <w:rsid w:val="00CF323C"/>
    <w:rsid w:val="00D21B16"/>
    <w:rsid w:val="00DA4891"/>
    <w:rsid w:val="00E05CE4"/>
    <w:rsid w:val="00E066D1"/>
    <w:rsid w:val="00E077C0"/>
    <w:rsid w:val="00E15F1C"/>
    <w:rsid w:val="00E275F7"/>
    <w:rsid w:val="00E31E5A"/>
    <w:rsid w:val="00E65013"/>
    <w:rsid w:val="00E8135A"/>
    <w:rsid w:val="00ED38DA"/>
    <w:rsid w:val="00F7252A"/>
    <w:rsid w:val="00F94BC9"/>
    <w:rsid w:val="00FC799A"/>
    <w:rsid w:val="14EF183C"/>
    <w:rsid w:val="22CD796D"/>
    <w:rsid w:val="27B85E18"/>
    <w:rsid w:val="3BEC00FB"/>
    <w:rsid w:val="542F2588"/>
    <w:rsid w:val="5F9A694F"/>
    <w:rsid w:val="6AF0413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unhideWhenUsed/>
    <w:qFormat/>
    <w:uiPriority w:val="99"/>
    <w:pPr>
      <w:spacing w:before="100" w:beforeAutospacing="1" w:after="100" w:afterAutospacing="1"/>
    </w:pPr>
    <w:rPr>
      <w:rFonts w:eastAsiaTheme="minorEastAsia"/>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076413-87F6-4652-9C2D-990C01E222DF}">
  <ds:schemaRefs/>
</ds:datastoreItem>
</file>

<file path=docProps/app.xml><?xml version="1.0" encoding="utf-8"?>
<Properties xmlns="http://schemas.openxmlformats.org/officeDocument/2006/extended-properties" xmlns:vt="http://schemas.openxmlformats.org/officeDocument/2006/docPropsVTypes">
  <Template>Normal</Template>
  <Pages>6</Pages>
  <Words>2099</Words>
  <Characters>11969</Characters>
  <Lines>99</Lines>
  <Paragraphs>28</Paragraphs>
  <TotalTime>1</TotalTime>
  <ScaleCrop>false</ScaleCrop>
  <LinksUpToDate>false</LinksUpToDate>
  <CharactersWithSpaces>14040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2019-11-26T14:26:00Z</dcterms:created>
  <dc:creator>Марченко Юлия Тиграновна</dc:creator>
  <cp:lastModifiedBy>polyd</cp:lastModifiedBy>
  <dcterms:modified xsi:type="dcterms:W3CDTF">2019-12-12T12:47:08Z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