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lang w:val="en-US"/>
        </w:rPr>
      </w:pPr>
      <w:r>
        <w:rPr>
          <w:lang w:val="en-US"/>
        </w:rPr>
        <w:t>В традиционной онкологии злокачественное новообразование рассматривается как результат развития соматический клеток организма. Однако открытие заразных форм рака, в частности, у двустворчатых моллюсков (Bivalvia Transmissible Neoplasia, BTN), меняет это представление. Одним из примеров служит BTN у мидий (род Mytilus), у которых обнаружены две независимые и широко распространенные клональные линии BTN1 и BTN2. Эти опухолевые клетки циркулируют в гемолимфе зараженных особей и передаются между моллюсками в популяции</w:t>
      </w:r>
      <w:r>
        <w:rPr>
          <w:lang w:val="ru-RU"/>
        </w:rPr>
        <w:t xml:space="preserve">, </w:t>
      </w:r>
      <w:r>
        <w:rPr>
          <w:lang w:val="en-US"/>
        </w:rPr>
        <w:t>демонстриру</w:t>
      </w:r>
      <w:r>
        <w:rPr>
          <w:lang w:val="ru-RU"/>
        </w:rPr>
        <w:t>я</w:t>
      </w:r>
      <w:r>
        <w:rPr>
          <w:lang w:val="en-US"/>
        </w:rPr>
        <w:t xml:space="preserve"> свойства, характерные для самостоятельных паразитических организмов. Они обладают собственным геномом, происходящим о генома M.trossulus, но эволюционирующ</w:t>
      </w:r>
      <w:r>
        <w:rPr>
          <w:lang w:val="ru-RU"/>
        </w:rPr>
        <w:t>его</w:t>
      </w:r>
      <w:r>
        <w:rPr>
          <w:lang w:val="en-US"/>
        </w:rPr>
        <w:t xml:space="preserve"> независимо от своих хозяев. Клетки этих линий  способны к длительной циркуляции в популяциях мидий на обширных географических территориях (от атлантического побережья Европы и Северной Америки до тихоокеанского бассейна). </w:t>
      </w:r>
    </w:p>
    <w:p>
      <w:pPr>
        <w:pStyle w:val="Normal"/>
        <w:rPr>
          <w:lang w:val="en-US"/>
        </w:rPr>
      </w:pPr>
      <w:r>
        <w:rPr>
          <w:lang w:val="en-US"/>
        </w:rPr>
        <w:t>Данный феномен позволяет рассматривать систему «моллюск-неоплазия» как новую, уникальную форму симбиотических отношений. Клетки BTN1 и BTN2, будучи по происхождению аллогенными, ведут себя как облигатные паразитические симбионты, использующие организм хозяина для собственного выживания и распространения. Таким образом, BTN не просто заболевание, а модель</w:t>
      </w:r>
      <w:r>
        <w:rPr>
          <w:lang w:val="ru-RU"/>
        </w:rPr>
        <w:t>, позволяющая описать поведение одноклеточного</w:t>
      </w:r>
      <w:r>
        <w:rPr>
          <w:lang w:val="en-US"/>
        </w:rPr>
        <w:t xml:space="preserve"> </w:t>
      </w:r>
      <w:r>
        <w:rPr>
          <w:lang w:val="ru-RU"/>
        </w:rPr>
        <w:t xml:space="preserve">паразита, </w:t>
      </w:r>
      <w:r>
        <w:rPr>
          <w:lang w:val="en-US"/>
        </w:rPr>
        <w:t>существующ</w:t>
      </w:r>
      <w:r>
        <w:rPr>
          <w:lang w:val="ru-RU"/>
        </w:rPr>
        <w:t>его</w:t>
      </w:r>
      <w:r>
        <w:rPr>
          <w:lang w:val="en-US"/>
        </w:rPr>
        <w:t xml:space="preserve"> в экосистеме вида-хозяина</w:t>
      </w:r>
      <w:r>
        <w:rPr>
          <w:lang w:val="ru-RU"/>
        </w:rPr>
        <w:t>, но имеющего при этом генетическое родство к самому хозяину</w:t>
      </w:r>
      <w:r>
        <w:rPr>
          <w:lang w:val="en-US"/>
        </w:rPr>
        <w:t xml:space="preserve">. Это открывает новые перспективы для изучения паразитизма.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В настоящее время наиболее плотная сеть точек (++ участков), в которой производилось изучение распространения BTN, представлена в Тауйской губе Охотского моря, в окрестностях Магадана. Здесь молекулярно-генетическими и цитологическими методами выявлено одновременное присутстивие BTN1 и BTN2 в популяциях M.trossulus. Столь плотная сеть станций позволяет описать связь распространения этих необычных симбионтов с популяционными параметрами хозяев и с набором средовых предикторов.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На каждой локации отбирали несколько проб, что позволило оценить вариацию частот линий BTN1 и BTN2 в масштабах от нескольких метров (внутри локаций) до километров (между локациями). Нулевая модель предполагала случайное варьирование частот в соответствии с биномиальным распределением.  Распределение BTN2 в пределах локации соответствовало нулевой модели, в то время как распределение BTN1 — нет, что указывает на действие локальных факторов, регулирующих его распространение на малых пространственных масштабах. В масштабах между локациями обе линии значимо отклонялись от нулевой модели, что свидетельствует о наличии факторов, влияющих на их распределение на больших расстояниях.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Соленость, как важнейший абиотический фактор </w:t>
      </w:r>
      <w:r>
        <w:rPr>
          <w:lang w:val="ru-RU"/>
        </w:rPr>
        <w:t xml:space="preserve">в морской среде, </w:t>
      </w:r>
      <w:r>
        <w:rPr>
          <w:lang w:val="en-US"/>
        </w:rPr>
        <w:t>не демонстрировала существенного варьирования между локациями. Вместе с тем, близость к морскому порту Магадана, и открытость побережья для прибоя могут быть рассмотрены, как переменные, характеризующие анртропогенный пресс и влияние абиотических фактров, не связанных с соленостью. Размерная структура мидий была использована в качестве предиктора, характеризующего популяционную струкутру вида-хозяина. Поcтроенная регрессионная модель выявила статистически значимую связь с предикторвми только для BTN1. Вероятность встретить мидию, зараженную этой линией, возрастает по мере увеличения расстояния до порта и по мере увеличения уровня прибойности. Наиболее высокая зараженность BTN1 наблюдается в тех локациях, где размерная структура поселения мидий характеризуется высоким обилием мелких моллюсков.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У 1131 мидии измеряли годичный прирост (расстояние от последнего кольца остановки роста до края раковины). Отношение этого прироста к длине раковины было статистически значимо выше у моллюсков, зараженных BTN2, по сравнению с зараженными BTN1 и здоровыми особями. При этом значимых различий в приросте между зараженными BTN1 и здоровыми мидиями не обнаружено.</w:t>
      </w:r>
    </w:p>
    <w:p>
      <w:pPr>
        <w:pStyle w:val="Normal"/>
        <w:rPr>
          <w:lang w:val="en-US"/>
        </w:rPr>
      </w:pPr>
      <w:r>
        <w:rPr>
          <w:lang w:val="en-US"/>
        </w:rPr>
        <w:t>Парадоксально, но заражение BTN2, по-видимому, стимулирует рост хозяина. Этот эффект аналогичен феномену паразитарной кастрации, известному у других паразитов, когда ресурсы хозяина перенаправляются от размножения к росту. Подобная стратегия может объяснять меньшую зависимость BTN2 от внешних условий: тонко настраивая использование ресурсов хозяина (возможно, через его кастрацию), клетки BTN2 получают больше энергии, что может обеспечивать им более широкое распространение и меньшую зависимость от варьирования внешних факторов.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=============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en-US" w:eastAsia="zh-CN"/>
        </w:rPr>
        <w:t>В традиционной онкологии опухоль считается результатом соматических мутаций клеток организма. Однако открытие заразных форм рака, таких как Bivalvia Transmissible Neoplasia (BTN), меняет эту парадигму. У мидий Mytilus обнаружены две независимые клональные линии — BTN1 и BTN2. Эти опухолевые клетки, происходящие от M. trossulus, циркулируют в гемолимфе и передаются между моллюсками, демонстрируя свойства самостоятельных паразитических организмов с собственным геномом.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cstheme="minorBidi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</w:pP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  <w:t>Систему «моллюск-неоплазия» можно рассматривать как уникальную форму симбиоза, где BTN1 и BTN2 выступают облигатными паразитическими симбионтами. На примере популяций M. trossulus в Тауйской губе (Охотское море) изучена связь распространения BTN с параметрами хозяев и средовыми факторами.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cstheme="minorBidi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</w:pP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  <w:t>Анализ вариации частот показал, что распределение BTN2 на малых пространственных масштабах случайно, а BTN1 регулируется локальными факторами. На больших расстояниях обе линии отклонялись от случайного распределения. Регрессионный анализ выявил для BTN1 значимую связь с удалённостью от порта Магадана и уровнем прибойности: заражённость выше в открытых бухтах с обилием мелких мидий.</w:t>
      </w:r>
    </w:p>
    <w:p>
      <w:pPr>
        <w:pStyle w:val="BodyText"/>
        <w:widowControl/>
        <w:spacing w:lineRule="atLeast" w:line="420" w:before="195" w:after="195"/>
        <w:ind w:hanging="0" w:left="0" w:right="0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 w:cstheme="minorBidi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</w:pP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  <w:t xml:space="preserve">Парадоксально, но заражение BTN2 стимулирует рост моллюсков (измеренный по годичному приросту раковины), аналогично паразитарной кастрации у других видов. Это может объяснять </w:t>
      </w: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val="ru-RU" w:eastAsia="zh-CN"/>
        </w:rPr>
        <w:t>более широкое</w:t>
      </w:r>
      <w:r>
        <w:rPr>
          <w:rFonts w:asciiTheme="minorAscii" w:cstheme="minorBidi" w:eastAsiaTheme="minorEastAsia" w:hAnsiTheme="minorAscii"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  <w:lang w:eastAsia="zh-CN"/>
        </w:rPr>
        <w:t xml:space="preserve"> распространение BTN2 и её меньшую зависимость от внешних условий благодаря эффективному использованию ресурсов хозяина.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quote-cjk-patch">
    <w:altName w:val="Inter"/>
    <w:charset w:val="cc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/>
    <w:lsdException w:name="Default Paragraph Font" w:uiPriority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 w:qFormat="1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 w:qFormat="1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 w:qFormat="1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 w:qFormat="1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 w:qFormat="1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ind w:firstLine="641"/>
      <w:jc w:val="both"/>
    </w:pPr>
    <w:rPr>
      <w:rFonts w:ascii="Calibri" w:hAnsi="Calibri" w:eastAsia="宋体" w:cs="" w:asciiTheme="minorAscii" w:cstheme="minorBidi" w:eastAsiaTheme="minorEastAsia" w:hAnsiTheme="minorAscii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BodyText"/>
    <w:uiPriority w:val="0"/>
    <w:qFormat/>
    <w:pPr>
      <w:keepNext w:val="true"/>
      <w:keepLines/>
      <w:spacing w:before="480" w:after="0"/>
      <w:jc w:val="center"/>
      <w:outlineLvl w:val="0"/>
    </w:pPr>
    <w:rPr>
      <w:rFonts w:ascii="Calibri Light" w:hAnsi="Calibri Light" w:eastAsia="宋体" w:cs="" w:asciiTheme="majorAscii" w:cstheme="majorBidi" w:eastAsiaTheme="majorEastAsia" w:hAnsiTheme="majorAscii"/>
      <w:b/>
      <w:bCs/>
      <w:color w:themeColor="dark1" w:val="000000"/>
      <w:sz w:val="28"/>
      <w:szCs w:val="32"/>
      <w:lang w:eastAsia="en-US"/>
    </w:rPr>
  </w:style>
  <w:style w:type="paragraph" w:styleId="Heading2">
    <w:name w:val="heading 2"/>
    <w:basedOn w:val="Normal"/>
    <w:next w:val="BodyText"/>
    <w:link w:val="2"/>
    <w:uiPriority w:val="0"/>
    <w:semiHidden/>
    <w:unhideWhenUsed/>
    <w:qFormat/>
    <w:pPr>
      <w:keepNext w:val="true"/>
      <w:keepLines/>
      <w:spacing w:before="200" w:after="0"/>
      <w:jc w:val="center"/>
      <w:outlineLvl w:val="1"/>
    </w:pPr>
    <w:rPr>
      <w:rFonts w:ascii="Calibri Light" w:hAnsi="Calibri Light" w:eastAsia="宋体" w:cs="" w:asciiTheme="majorAscii" w:cstheme="majorBidi" w:eastAsiaTheme="majorEastAsia" w:hAnsiTheme="majorAscii"/>
      <w:b/>
      <w:bCs/>
      <w:i/>
      <w:color w:themeColor="dark1" w:val="000000"/>
      <w:szCs w:val="24"/>
      <w:lang w:eastAsia="en-US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BodyText"/>
    <w:uiPriority w:val="0"/>
    <w:semiHidden/>
    <w:unhideWhenUsed/>
    <w:qFormat/>
    <w:pPr>
      <w:keepNext w:val="true"/>
      <w:keepLines/>
      <w:spacing w:before="200" w:after="0"/>
      <w:jc w:val="both"/>
      <w:outlineLvl w:val="5"/>
    </w:pPr>
    <w:rPr>
      <w:rFonts w:ascii="Calibri Light" w:hAnsi="Calibri Light" w:eastAsia="宋体" w:cs="" w:asciiTheme="majorAscii" w:cstheme="majorBidi" w:eastAsiaTheme="majorEastAsia" w:hAnsiTheme="majorAscii"/>
      <w:color w:themeColor="dark1" w:val="000000"/>
      <w:sz w:val="20"/>
      <w:szCs w:val="24"/>
      <w:lang w:eastAsia="en-US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styleId="DefaultParagraphFont" w:default="1">
    <w:name w:val="Default Paragraph Font"/>
    <w:uiPriority w:val="0"/>
    <w:semiHidden/>
    <w:unhideWhenUsed/>
    <w:qFormat/>
    <w:rPr/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Style5">
    <w:name w:val="Символ сноски"/>
    <w:basedOn w:val="DefaultParagraphFont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0"/>
    <w:qFormat/>
    <w:rPr>
      <w:sz w:val="21"/>
      <w:szCs w:val="21"/>
    </w:rPr>
  </w:style>
  <w:style w:type="character" w:styleId="Style6">
    <w:name w:val="Символ концевой сноски"/>
    <w:basedOn w:val="DefaultParagraphFont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neNumber">
    <w:name w:val="line number"/>
    <w:basedOn w:val="DefaultParagraphFont"/>
    <w:uiPriority w:val="0"/>
    <w:qFormat/>
    <w:rPr/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宋体" w:cs="" w:asciiTheme="majorAscii" w:cstheme="majorBidi" w:eastAsiaTheme="majorEastAsia" w:hAnsiTheme="majorAscii"/>
      <w:b/>
      <w:color w:themeColor="accent1" w:val="5B9BD5"/>
      <w:sz w:val="28"/>
      <w:szCs w:val="28"/>
      <w:lang w:val="ru-RU" w:eastAsia="en-US"/>
    </w:rPr>
  </w:style>
  <w:style w:type="character" w:styleId="BodyTextChar" w:customStyle="1">
    <w:name w:val="Body Text Char"/>
    <w:basedOn w:val="DefaultParagraphFont"/>
    <w:uiPriority w:val="0"/>
    <w:qFormat/>
    <w:rPr>
      <w:rFonts w:ascii="Calibri" w:hAnsi="Calibri" w:eastAsia="宋体" w:asciiTheme="minorAscii" w:eastAsiaTheme="minorEastAsia" w:hAnsiTheme="minorAscii"/>
      <w:szCs w:val="24"/>
      <w:lang w:eastAsia="en-US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0"/>
    <w:qFormat/>
    <w:pPr>
      <w:spacing w:before="180" w:after="180"/>
      <w:jc w:val="both"/>
    </w:pPr>
    <w:rPr>
      <w:rFonts w:ascii="Calibri" w:hAnsi="Calibri" w:eastAsia="宋体" w:asciiTheme="minorAscii" w:eastAsiaTheme="minorEastAsia" w:hAnsiTheme="minorAscii"/>
      <w:szCs w:val="24"/>
      <w:lang w:eastAsia="en-US"/>
    </w:rPr>
  </w:style>
  <w:style w:type="paragraph" w:styleId="List">
    <w:name w:val="List"/>
    <w:basedOn w:val="Normal"/>
    <w:uiPriority w:val="0"/>
    <w:qFormat/>
    <w:pPr>
      <w:ind w:hanging="360" w:left="360"/>
    </w:pPr>
    <w:rPr/>
  </w:style>
  <w:style w:type="paragraph" w:styleId="Caption">
    <w:name w:val="caption"/>
    <w:basedOn w:val="Normal"/>
    <w:next w:val="Normal"/>
    <w:uiPriority w:val="0"/>
    <w:semiHidden/>
    <w:unhideWhenUsed/>
    <w:qFormat/>
    <w:pPr/>
    <w:rPr>
      <w:rFonts w:ascii="Arial" w:hAnsi="Arial" w:eastAsia="黑体" w:cs="Arial"/>
      <w:sz w:val="20"/>
    </w:rPr>
  </w:style>
  <w:style w:type="paragraph" w:styleId="Style8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autoRedefine/>
    <w:uiPriority w:val="0"/>
    <w:qFormat/>
    <w:pPr/>
    <w:rPr>
      <w:sz w:val="16"/>
      <w:szCs w:val="16"/>
    </w:rPr>
  </w:style>
  <w:style w:type="paragraph" w:styleId="List5">
    <w:name w:val="List 5"/>
    <w:basedOn w:val="Normal"/>
    <w:autoRedefine/>
    <w:uiPriority w:val="0"/>
    <w:qFormat/>
    <w:pPr>
      <w:ind w:hanging="360" w:left="1800"/>
    </w:pPr>
    <w:rPr/>
  </w:style>
  <w:style w:type="paragraph" w:styleId="ListContinue">
    <w:name w:val="List Continue"/>
    <w:basedOn w:val="Normal"/>
    <w:autoRedefine/>
    <w:uiPriority w:val="0"/>
    <w:qFormat/>
    <w:pPr>
      <w:spacing w:before="0" w:after="120"/>
      <w:ind w:left="36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"/>
      </w:numPr>
    </w:pPr>
    <w:rPr/>
  </w:style>
  <w:style w:type="paragraph" w:styleId="Closing">
    <w:name w:val="Closing"/>
    <w:basedOn w:val="Normal"/>
    <w:autoRedefine/>
    <w:uiPriority w:val="0"/>
    <w:qFormat/>
    <w:pPr>
      <w:ind w:left="4320"/>
    </w:pPr>
    <w:rPr/>
  </w:style>
  <w:style w:type="paragraph" w:styleId="NormalIndent">
    <w:name w:val="Normal Indent"/>
    <w:basedOn w:val="Normal"/>
    <w:autoRedefine/>
    <w:uiPriority w:val="0"/>
    <w:qFormat/>
    <w:pPr>
      <w:ind w:left="708"/>
    </w:pPr>
    <w:rPr/>
  </w:style>
  <w:style w:type="paragraph" w:styleId="EnvelopeReturn">
    <w:name w:val="envelope return"/>
    <w:basedOn w:val="Normal"/>
    <w:uiPriority w:val="0"/>
    <w:qFormat/>
    <w:pPr/>
    <w:rPr>
      <w:rFonts w:ascii="Arial" w:hAnsi="Arial" w:cs="Arial"/>
      <w:sz w:val="20"/>
    </w:rPr>
  </w:style>
  <w:style w:type="paragraph" w:styleId="PlainText">
    <w:name w:val="Plain Text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BodyTextIndent3">
    <w:name w:val="Body Text Indent 3"/>
    <w:basedOn w:val="Normal"/>
    <w:uiPriority w:val="0"/>
    <w:qFormat/>
    <w:pPr>
      <w:spacing w:before="0" w:after="120"/>
      <w:ind w:left="360"/>
    </w:pPr>
    <w:rPr>
      <w:sz w:val="16"/>
      <w:szCs w:val="16"/>
    </w:rPr>
  </w:style>
  <w:style w:type="paragraph" w:styleId="EndnoteText">
    <w:name w:val="endnote text"/>
    <w:basedOn w:val="Normal"/>
    <w:uiPriority w:val="0"/>
    <w:qFormat/>
    <w:pPr>
      <w:snapToGrid w:val="false"/>
      <w:jc w:val="left"/>
    </w:pPr>
    <w:rPr/>
  </w:style>
  <w:style w:type="paragraph" w:styleId="CommentText">
    <w:name w:val="annotation text"/>
    <w:basedOn w:val="Normal"/>
    <w:uiPriority w:val="0"/>
    <w:qFormat/>
    <w:pPr>
      <w:jc w:val="left"/>
    </w:pPr>
    <w:rPr/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annotationsubject">
    <w:name w:val="annotation subject"/>
    <w:basedOn w:val="CommentText"/>
    <w:next w:val="CommentText"/>
    <w:uiPriority w:val="0"/>
    <w:qFormat/>
    <w:pPr/>
    <w:rPr>
      <w:b/>
      <w:bCs/>
    </w:rPr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FootnoteText">
    <w:name w:val="footnote text"/>
    <w:basedOn w:val="Normal"/>
    <w:uiPriority w:val="0"/>
    <w:qFormat/>
    <w:pPr>
      <w:snapToGrid w:val="false"/>
      <w:jc w:val="left"/>
    </w:pPr>
    <w:rPr>
      <w:sz w:val="18"/>
      <w:szCs w:val="18"/>
    </w:rPr>
  </w:style>
  <w:style w:type="paragraph" w:styleId="TOC8">
    <w:name w:val="toc 8"/>
    <w:basedOn w:val="Normal"/>
    <w:next w:val="Normal"/>
    <w:uiPriority w:val="0"/>
    <w:qFormat/>
    <w:pPr>
      <w:ind w:left="2940"/>
    </w:pPr>
    <w:rPr/>
  </w:style>
  <w:style w:type="paragraph" w:styleId="Index2">
    <w:name w:val="index 2"/>
    <w:basedOn w:val="Normal"/>
    <w:next w:val="Normal"/>
    <w:uiPriority w:val="0"/>
    <w:qFormat/>
    <w:pPr>
      <w:ind w:left="200"/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2"/>
      </w:numPr>
    </w:pPr>
    <w:rPr/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Index7">
    <w:name w:val="index 7"/>
    <w:basedOn w:val="Normal"/>
    <w:next w:val="Normal"/>
    <w:uiPriority w:val="0"/>
    <w:qFormat/>
    <w:pPr>
      <w:ind w:left="1200"/>
    </w:pPr>
    <w:rPr/>
  </w:style>
  <w:style w:type="paragraph" w:styleId="Index3">
    <w:name w:val="index 3"/>
    <w:basedOn w:val="Normal"/>
    <w:next w:val="Normal"/>
    <w:uiPriority w:val="0"/>
    <w:qFormat/>
    <w:pPr>
      <w:ind w:left="400"/>
    </w:pPr>
    <w:rPr/>
  </w:style>
  <w:style w:type="paragraph" w:styleId="Index5">
    <w:name w:val="index 5"/>
    <w:basedOn w:val="Normal"/>
    <w:next w:val="Normal"/>
    <w:uiPriority w:val="0"/>
    <w:qFormat/>
    <w:pPr>
      <w:ind w:left="800"/>
    </w:pPr>
    <w:rPr/>
  </w:style>
  <w:style w:type="paragraph" w:styleId="Index4">
    <w:name w:val="index 4"/>
    <w:basedOn w:val="Normal"/>
    <w:next w:val="Normal"/>
    <w:uiPriority w:val="0"/>
    <w:qFormat/>
    <w:pPr>
      <w:ind w:left="600"/>
    </w:pPr>
    <w:rPr/>
  </w:style>
  <w:style w:type="paragraph" w:styleId="Style9">
    <w:name w:val="Колонтитулы"/>
    <w:basedOn w:val="Normal"/>
    <w:qFormat/>
    <w:pPr/>
    <w:rPr/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</w:pPr>
    <w:rPr/>
  </w:style>
  <w:style w:type="paragraph" w:styleId="TOC9">
    <w:name w:val="toc 9"/>
    <w:basedOn w:val="Normal"/>
    <w:next w:val="Normal"/>
    <w:uiPriority w:val="0"/>
    <w:pPr>
      <w:ind w:left="3360"/>
    </w:pPr>
    <w:rPr/>
  </w:style>
  <w:style w:type="paragraph" w:styleId="TOC7">
    <w:name w:val="toc 7"/>
    <w:basedOn w:val="Normal"/>
    <w:next w:val="Normal"/>
    <w:uiPriority w:val="0"/>
    <w:qFormat/>
    <w:pPr>
      <w:ind w:left="2520"/>
    </w:pPr>
    <w:rPr/>
  </w:style>
  <w:style w:type="paragraph" w:styleId="Index6">
    <w:name w:val="index 6"/>
    <w:basedOn w:val="Normal"/>
    <w:next w:val="Normal"/>
    <w:uiPriority w:val="0"/>
    <w:qFormat/>
    <w:pPr>
      <w:ind w:left="1000"/>
    </w:pPr>
    <w:rPr/>
  </w:style>
  <w:style w:type="paragraph" w:styleId="EnvelopeAddress">
    <w:name w:val="envelope address"/>
    <w:basedOn w:val="Normal"/>
    <w:uiPriority w:val="0"/>
    <w:qFormat/>
    <w:pPr>
      <w:ind w:left="2880"/>
    </w:pPr>
    <w:rPr>
      <w:rFonts w:ascii="Arial" w:hAnsi="Arial" w:cs="Arial"/>
      <w:sz w:val="24"/>
      <w:szCs w:val="24"/>
    </w:rPr>
  </w:style>
  <w:style w:type="paragraph" w:styleId="Index8">
    <w:name w:val="index 8"/>
    <w:basedOn w:val="Normal"/>
    <w:next w:val="Normal"/>
    <w:uiPriority w:val="0"/>
    <w:qFormat/>
    <w:pPr>
      <w:ind w:left="1400"/>
    </w:pPr>
    <w:rPr/>
  </w:style>
  <w:style w:type="paragraph" w:styleId="Index9">
    <w:name w:val="index 9"/>
    <w:basedOn w:val="Normal"/>
    <w:next w:val="Normal"/>
    <w:uiPriority w:val="0"/>
    <w:qFormat/>
    <w:pPr>
      <w:ind w:left="1600"/>
    </w:pPr>
    <w:rPr/>
  </w:style>
  <w:style w:type="paragraph" w:styleId="ListNumber4">
    <w:name w:val="List Number 4"/>
    <w:basedOn w:val="Normal"/>
    <w:uiPriority w:val="0"/>
    <w:pPr>
      <w:numPr>
        <w:ilvl w:val="0"/>
        <w:numId w:val="3"/>
      </w:numPr>
    </w:pPr>
    <w:rPr/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TOC1">
    <w:name w:val="toc 1"/>
    <w:basedOn w:val="Normal"/>
    <w:next w:val="Normal"/>
    <w:uiPriority w:val="0"/>
    <w:qFormat/>
    <w:pPr/>
    <w:rPr/>
  </w:style>
  <w:style w:type="paragraph" w:styleId="TableofAuthorities">
    <w:name w:val="table of authorities"/>
    <w:basedOn w:val="Normal"/>
    <w:next w:val="Normal"/>
    <w:uiPriority w:val="0"/>
    <w:qFormat/>
    <w:pPr>
      <w:ind w:left="420"/>
    </w:pPr>
    <w:rPr/>
  </w:style>
  <w:style w:type="paragraph" w:styleId="MacroText">
    <w:name w:val="macro"/>
    <w:uiPriority w:val="0"/>
    <w:qFormat/>
    <w:pPr>
      <w:widowControl w:val="false"/>
      <w:tabs>
        <w:tab w:val="clear" w:pos="4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TOC6">
    <w:name w:val="toc 6"/>
    <w:basedOn w:val="Normal"/>
    <w:next w:val="Normal"/>
    <w:uiPriority w:val="0"/>
    <w:qFormat/>
    <w:pPr>
      <w:ind w:left="2100"/>
    </w:pPr>
    <w:rPr/>
  </w:style>
  <w:style w:type="paragraph" w:styleId="TableofFigures">
    <w:name w:val="table of figures"/>
    <w:basedOn w:val="Normal"/>
    <w:next w:val="Normal"/>
    <w:uiPriority w:val="0"/>
    <w:qFormat/>
    <w:pPr>
      <w:ind w:hanging="200"/>
    </w:pPr>
    <w:rPr/>
  </w:style>
  <w:style w:type="paragraph" w:styleId="TOC3">
    <w:name w:val="toc 3"/>
    <w:basedOn w:val="Normal"/>
    <w:next w:val="Normal"/>
    <w:uiPriority w:val="0"/>
    <w:qFormat/>
    <w:pPr>
      <w:ind w:left="840"/>
    </w:pPr>
    <w:rPr/>
  </w:style>
  <w:style w:type="paragraph" w:styleId="TOC2">
    <w:name w:val="toc 2"/>
    <w:basedOn w:val="Normal"/>
    <w:next w:val="Normal"/>
    <w:uiPriority w:val="0"/>
    <w:qFormat/>
    <w:pPr>
      <w:ind w:left="420"/>
    </w:pPr>
    <w:rPr/>
  </w:style>
  <w:style w:type="paragraph" w:styleId="TOC4">
    <w:name w:val="toc 4"/>
    <w:basedOn w:val="Normal"/>
    <w:next w:val="Normal"/>
    <w:uiPriority w:val="0"/>
    <w:qFormat/>
    <w:pPr>
      <w:ind w:left="1260"/>
    </w:pPr>
    <w:rPr/>
  </w:style>
  <w:style w:type="paragraph" w:styleId="TOC5">
    <w:name w:val="toc 5"/>
    <w:basedOn w:val="Normal"/>
    <w:next w:val="Normal"/>
    <w:uiPriority w:val="0"/>
    <w:pPr>
      <w:ind w:left="1680"/>
    </w:pPr>
    <w:rPr/>
  </w:style>
  <w:style w:type="paragraph" w:styleId="NoteHeading">
    <w:name w:val="Note Heading"/>
    <w:basedOn w:val="Normal"/>
    <w:next w:val="Normal"/>
    <w:uiPriority w:val="0"/>
    <w:qFormat/>
    <w:pPr/>
    <w:rPr/>
  </w:style>
  <w:style w:type="paragraph" w:styleId="Date">
    <w:name w:val="Date"/>
    <w:basedOn w:val="Normal"/>
    <w:next w:val="Normal"/>
    <w:uiPriority w:val="0"/>
    <w:qFormat/>
    <w:pPr/>
    <w:rPr/>
  </w:style>
  <w:style w:type="paragraph" w:styleId="ListBullet5">
    <w:name w:val="List Bullet 5"/>
    <w:basedOn w:val="Normal"/>
    <w:uiPriority w:val="0"/>
    <w:pPr>
      <w:numPr>
        <w:ilvl w:val="0"/>
        <w:numId w:val="4"/>
      </w:numPr>
    </w:pPr>
    <w:rPr/>
  </w:style>
  <w:style w:type="paragraph" w:styleId="BodyTextFirstIndent">
    <w:name w:val="Body Text First Indent"/>
    <w:basedOn w:val="BodyText"/>
    <w:uiPriority w:val="0"/>
    <w:qFormat/>
    <w:pPr>
      <w:ind w:firstLine="210"/>
    </w:pPr>
    <w:rPr/>
  </w:style>
  <w:style w:type="paragraph" w:styleId="BodyTextFirstIndent2">
    <w:name w:val="Body Text First Indent 2"/>
    <w:basedOn w:val="BodyTextIndent"/>
    <w:uiPriority w:val="0"/>
    <w:qFormat/>
    <w:pPr>
      <w:ind w:firstLine="210"/>
    </w:pPr>
    <w:rPr/>
  </w:style>
  <w:style w:type="paragraph" w:styleId="BodyTextIndent">
    <w:name w:val="Body Text Indent"/>
    <w:basedOn w:val="Normal"/>
    <w:uiPriority w:val="0"/>
    <w:pPr>
      <w:spacing w:before="0" w:after="120"/>
      <w:ind w:left="360"/>
    </w:pPr>
    <w:rPr/>
  </w:style>
  <w:style w:type="paragraph" w:styleId="ListBullet4">
    <w:name w:val="List Bullet 4"/>
    <w:basedOn w:val="Normal"/>
    <w:uiPriority w:val="0"/>
    <w:pPr>
      <w:numPr>
        <w:ilvl w:val="0"/>
        <w:numId w:val="5"/>
      </w:numPr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6"/>
      </w:numPr>
    </w:pPr>
    <w:rPr/>
  </w:style>
  <w:style w:type="paragraph" w:styleId="ListBullet2">
    <w:name w:val="List Bullet 2"/>
    <w:basedOn w:val="Normal"/>
    <w:uiPriority w:val="0"/>
    <w:pPr>
      <w:numPr>
        <w:ilvl w:val="0"/>
        <w:numId w:val="7"/>
      </w:numPr>
    </w:pPr>
    <w:rPr/>
  </w:style>
  <w:style w:type="paragraph" w:styleId="ListBullet3">
    <w:name w:val="List Bullet 3"/>
    <w:basedOn w:val="Normal"/>
    <w:uiPriority w:val="0"/>
    <w:pPr>
      <w:numPr>
        <w:ilvl w:val="0"/>
        <w:numId w:val="8"/>
      </w:numPr>
    </w:pPr>
    <w:rPr/>
  </w:style>
  <w:style w:type="paragraph" w:styleId="Title">
    <w:name w:val="Title"/>
    <w:basedOn w:val="Normal"/>
    <w:next w:val="BodyText"/>
    <w:uiPriority w:val="0"/>
    <w:qFormat/>
    <w:pPr>
      <w:keepNext w:val="true"/>
      <w:keepLines/>
      <w:spacing w:before="480" w:after="240"/>
      <w:jc w:val="center"/>
    </w:pPr>
    <w:rPr>
      <w:rFonts w:ascii="Calibri Light" w:hAnsi="Calibri Light" w:eastAsia="宋体" w:cs="" w:asciiTheme="majorAscii" w:cstheme="majorBidi" w:eastAsiaTheme="majorEastAsia" w:hAnsiTheme="majorAscii"/>
      <w:b/>
      <w:bCs/>
      <w:color w:themeColor="dark1" w:val="000000"/>
      <w:sz w:val="36"/>
      <w:szCs w:val="36"/>
      <w:lang w:eastAsia="en-US"/>
    </w:rPr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</w:pPr>
    <w:rPr/>
  </w:style>
  <w:style w:type="paragraph" w:styleId="ListNumber">
    <w:name w:val="List Number"/>
    <w:basedOn w:val="Normal"/>
    <w:uiPriority w:val="0"/>
    <w:pPr>
      <w:numPr>
        <w:ilvl w:val="0"/>
        <w:numId w:val="9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10"/>
      </w:numPr>
    </w:pPr>
    <w:rPr/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360"/>
    </w:pPr>
    <w:rPr/>
  </w:style>
  <w:style w:type="paragraph" w:styleId="Subtitle">
    <w:name w:val="Subtitle"/>
    <w:basedOn w:val="Normal"/>
    <w:uiPriority w:val="0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uiPriority w:val="0"/>
    <w:pPr>
      <w:ind w:left="4320"/>
    </w:pPr>
    <w:rPr/>
  </w:style>
  <w:style w:type="paragraph" w:styleId="Salutation">
    <w:name w:val="Salutation"/>
    <w:basedOn w:val="Normal"/>
    <w:next w:val="Normal"/>
    <w:uiPriority w:val="0"/>
    <w:qFormat/>
    <w:pPr/>
    <w:rPr/>
  </w:style>
  <w:style w:type="paragraph" w:styleId="ListContinue2">
    <w:name w:val="List Continue 2"/>
    <w:basedOn w:val="Normal"/>
    <w:uiPriority w:val="0"/>
    <w:pPr>
      <w:spacing w:before="0" w:after="120"/>
      <w:ind w:left="720"/>
    </w:pPr>
    <w:rPr/>
  </w:style>
  <w:style w:type="paragraph" w:styleId="ListContinue3">
    <w:name w:val="List Continue 3"/>
    <w:basedOn w:val="Normal"/>
    <w:uiPriority w:val="0"/>
    <w:pPr>
      <w:spacing w:before="0" w:after="120"/>
      <w:ind w:left="1080"/>
    </w:pPr>
    <w:rPr/>
  </w:style>
  <w:style w:type="paragraph" w:styleId="ListContinue4">
    <w:name w:val="List Continue 4"/>
    <w:basedOn w:val="Normal"/>
    <w:uiPriority w:val="0"/>
    <w:qFormat/>
    <w:pPr>
      <w:spacing w:before="0" w:after="120"/>
      <w:ind w:left="144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1800"/>
    </w:pPr>
    <w:rPr/>
  </w:style>
  <w:style w:type="paragraph" w:styleId="List2">
    <w:name w:val="List 2"/>
    <w:basedOn w:val="Normal"/>
    <w:uiPriority w:val="0"/>
    <w:qFormat/>
    <w:pPr>
      <w:ind w:hanging="360" w:left="720"/>
    </w:pPr>
    <w:rPr/>
  </w:style>
  <w:style w:type="paragraph" w:styleId="List3">
    <w:name w:val="List 3"/>
    <w:basedOn w:val="Normal"/>
    <w:uiPriority w:val="0"/>
    <w:qFormat/>
    <w:pPr>
      <w:ind w:hanging="360" w:left="1080"/>
    </w:pPr>
    <w:rPr/>
  </w:style>
  <w:style w:type="paragraph" w:styleId="List4">
    <w:name w:val="List 4"/>
    <w:basedOn w:val="Normal"/>
    <w:uiPriority w:val="0"/>
    <w:qFormat/>
    <w:pPr>
      <w:ind w:hanging="360" w:left="1440"/>
    </w:pPr>
    <w:rPr/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/>
    </w:pPr>
    <w:rPr/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left="1080"/>
    </w:pPr>
    <w:rPr>
      <w:rFonts w:ascii="Arial" w:hAnsi="Arial" w:cs="Arial"/>
      <w:sz w:val="24"/>
      <w:szCs w:val="24"/>
    </w:rPr>
  </w:style>
  <w:style w:type="paragraph" w:styleId="E-mailSignature">
    <w:name w:val="E-mail Signature"/>
    <w:basedOn w:val="Normal"/>
    <w:uiPriority w:val="0"/>
    <w:qFormat/>
    <w:pPr/>
    <w:rPr/>
  </w:style>
  <w:style w:type="paragraph" w:styleId="ImageCaption" w:customStyle="1">
    <w:name w:val="Image Caption"/>
    <w:basedOn w:val="Caption"/>
    <w:uiPriority w:val="0"/>
    <w:qFormat/>
    <w:pPr>
      <w:jc w:val="both"/>
    </w:pPr>
    <w:rPr>
      <w:rFonts w:ascii="Calibri" w:hAnsi="Calibri" w:eastAsia="宋体" w:cs="" w:asciiTheme="minorAscii" w:cstheme="minorBidi" w:eastAsiaTheme="minorEastAsia" w:hAnsiTheme="minorAscii"/>
      <w:i/>
      <w:sz w:val="20"/>
      <w:szCs w:val="24"/>
      <w:lang w:eastAsia="en-US"/>
    </w:rPr>
  </w:style>
  <w:style w:type="paragraph" w:styleId="Style10" w:customStyle="1">
    <w:name w:val="Таблица"/>
    <w:basedOn w:val="Normal"/>
    <w:next w:val="Normal"/>
    <w:uiPriority w:val="0"/>
    <w:qFormat/>
    <w:pPr>
      <w:spacing w:before="36" w:after="36"/>
    </w:pPr>
    <w:rPr>
      <w:rFonts w:ascii="Times New Roman" w:hAnsi="Times New Roman" w:eastAsia="宋体" w:cs="Times New Roman" w:eastAsiaTheme="minorEastAsia"/>
      <w:sz w:val="16"/>
      <w:szCs w:val="16"/>
      <w:lang w:val="ru-RU" w:eastAsia="en-US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table" w:default="1" w:styleId="1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7">
    <w:name w:val="Table Colorful 2"/>
    <w:basedOn w:val="13"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jc w:val="both"/>
    </w:pPr>
    <w:tblPr>
      <w:tblStyleColBandSize w:val="1"/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jc w:val="both"/>
    </w:pPr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jc w:val="both"/>
    </w:pPr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143">
    <w:name w:val="Table Classic 2"/>
    <w:basedOn w:val="13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jc w:val="both"/>
    </w:p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qFormat/>
    <w:pPr>
      <w:jc w:val="both"/>
    </w:pPr>
    <w:rPr>
      <w:b/>
      <w:bCs/>
    </w:rPr>
    <w:tblPr>
      <w:tblStyleColBandSize w:val="1"/>
    </w:tblPr>
    <w:tblStylePr w:type="firstRow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qFormat/>
    <w:pPr>
      <w:jc w:val="both"/>
    </w:p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LibreOffice/25.2.5.1$Windows_X86_64 LibreOffice_project/484541f705153d4ff78284873b0153c3e5a280db</Application>
  <AppVersion>15.0000</AppVersion>
  <Pages>3</Pages>
  <Words>723</Words>
  <Characters>5154</Characters>
  <CharactersWithSpaces>5873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2025-08-21T09:23:00Z</dcterms:created>
  <dc:creator>polyd</dc:creator>
  <dc:description/>
  <dc:language>ru-RU</dc:language>
  <cp:lastModifiedBy/>
  <dcterms:modified xsi:type="dcterms:W3CDTF">2025-08-21T14:20:32Z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681C1A11C79445A894EE28CE8672BC65_13</vt:lpwstr>
  </property>
  <property fmtid="{D5CDD505-2E9C-101B-9397-08002B2CF9AE}" pid="3" name="KSOProductBuildVer">
    <vt:lpwstr>1049-12.2.0.21931</vt:lpwstr>
  </property>
</Properties>
</file>