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120"/>
        <w:jc w:val="center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Краткий отчет по</w:t>
      </w:r>
    </w:p>
    <w:p>
      <w:pPr>
        <w:spacing w:before="60"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Договору №</w:t>
      </w:r>
      <w:r>
        <w:rPr>
          <w:rFonts w:hint="default"/>
          <w:b/>
          <w:sz w:val="28"/>
          <w:szCs w:val="28"/>
          <w:lang w:val="ru-RU"/>
        </w:rPr>
        <w:t>03</w:t>
      </w:r>
      <w:r>
        <w:rPr>
          <w:b/>
          <w:sz w:val="28"/>
          <w:szCs w:val="28"/>
          <w:lang w:val="ru-RU"/>
        </w:rPr>
        <w:t>/10-01</w:t>
      </w:r>
    </w:p>
    <w:p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оказание услуг от 10 января 2022 г.</w:t>
      </w:r>
    </w:p>
    <w:p>
      <w:pPr>
        <w:pStyle w:val="4"/>
        <w:jc w:val="left"/>
        <w:outlineLvl w:val="0"/>
        <w:rPr>
          <w:sz w:val="28"/>
          <w:szCs w:val="28"/>
          <w:lang w:val="ru-RU"/>
        </w:rPr>
      </w:pPr>
    </w:p>
    <w:p>
      <w:pPr>
        <w:pStyle w:val="4"/>
        <w:jc w:val="left"/>
        <w:outlineLvl w:val="0"/>
        <w:rPr>
          <w:sz w:val="20"/>
          <w:lang w:val="ru-RU"/>
        </w:rPr>
      </w:pPr>
    </w:p>
    <w:p>
      <w:pPr>
        <w:pStyle w:val="4"/>
        <w:jc w:val="left"/>
        <w:outlineLvl w:val="0"/>
        <w:rPr>
          <w:szCs w:val="24"/>
        </w:rPr>
      </w:pPr>
      <w:bookmarkStart w:id="0" w:name="_Hlk55846736"/>
      <w:r>
        <w:rPr>
          <w:szCs w:val="24"/>
        </w:rPr>
        <w:t>г. 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«</w:t>
      </w:r>
      <w:r>
        <w:rPr>
          <w:rFonts w:hint="default"/>
          <w:szCs w:val="24"/>
          <w:lang w:val="ru-RU"/>
        </w:rPr>
        <w:t>28</w:t>
      </w:r>
      <w:r>
        <w:rPr>
          <w:szCs w:val="24"/>
        </w:rPr>
        <w:t>»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  <w:lang w:val="ru-RU"/>
        </w:rPr>
        <w:t>февраля</w:t>
      </w:r>
      <w:r>
        <w:rPr>
          <w:szCs w:val="24"/>
        </w:rPr>
        <w:t xml:space="preserve"> 20</w:t>
      </w:r>
      <w:r>
        <w:rPr>
          <w:szCs w:val="24"/>
          <w:lang w:val="ru-RU"/>
        </w:rPr>
        <w:t>22</w:t>
      </w:r>
      <w:r>
        <w:rPr>
          <w:szCs w:val="24"/>
        </w:rPr>
        <w:t xml:space="preserve"> года</w:t>
      </w:r>
    </w:p>
    <w:bookmarkEnd w:id="0"/>
    <w:p>
      <w:pPr>
        <w:spacing w:before="60" w:after="60"/>
        <w:jc w:val="both"/>
        <w:rPr>
          <w:sz w:val="24"/>
          <w:szCs w:val="24"/>
        </w:rPr>
      </w:pPr>
    </w:p>
    <w:p>
      <w:p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Договором №</w:t>
      </w:r>
      <w:r>
        <w:rPr>
          <w:rFonts w:hint="default"/>
          <w:b/>
          <w:sz w:val="24"/>
          <w:szCs w:val="24"/>
          <w:lang w:val="ru-RU"/>
        </w:rPr>
        <w:t>03</w:t>
      </w:r>
      <w:r>
        <w:rPr>
          <w:b/>
          <w:sz w:val="24"/>
          <w:szCs w:val="24"/>
          <w:lang w:val="ru-RU"/>
        </w:rPr>
        <w:t>10-01</w:t>
      </w:r>
      <w:r>
        <w:rPr>
          <w:sz w:val="24"/>
          <w:szCs w:val="24"/>
        </w:rPr>
        <w:t xml:space="preserve"> от</w:t>
      </w:r>
      <w:r>
        <w:rPr>
          <w:sz w:val="24"/>
          <w:szCs w:val="24"/>
          <w:lang w:val="ru-RU"/>
        </w:rPr>
        <w:t xml:space="preserve"> 10 января 2022 г.</w:t>
      </w:r>
      <w:r>
        <w:rPr>
          <w:sz w:val="24"/>
          <w:szCs w:val="24"/>
        </w:rPr>
        <w:t xml:space="preserve"> на оказание услуг в период с «</w:t>
      </w:r>
      <w:r>
        <w:rPr>
          <w:rFonts w:hint="default"/>
          <w:sz w:val="24"/>
          <w:szCs w:val="24"/>
          <w:lang w:val="ru-RU"/>
        </w:rPr>
        <w:t>10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ru-RU"/>
        </w:rPr>
        <w:t>января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ru-RU"/>
        </w:rPr>
        <w:t>22</w:t>
      </w:r>
      <w:r>
        <w:rPr>
          <w:sz w:val="24"/>
          <w:szCs w:val="24"/>
        </w:rPr>
        <w:t xml:space="preserve"> г. по «</w:t>
      </w:r>
      <w:r>
        <w:rPr>
          <w:rFonts w:hint="default"/>
          <w:sz w:val="24"/>
          <w:szCs w:val="24"/>
          <w:lang w:val="ru-RU"/>
        </w:rPr>
        <w:t>28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ru-RU"/>
        </w:rPr>
        <w:t>февраля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ru-RU"/>
        </w:rPr>
        <w:t>22</w:t>
      </w:r>
      <w:r>
        <w:rPr>
          <w:sz w:val="24"/>
          <w:szCs w:val="24"/>
        </w:rPr>
        <w:t xml:space="preserve"> г. Исполнителем были оказаны Заказчику следующие услуги: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rFonts w:hint="default"/>
          <w:szCs w:val="24"/>
          <w:lang w:val="ru-RU"/>
        </w:rPr>
        <w:t>На основе гидрологической модели были описаны условия, характерные для Обской губы в районе проектируемых работ. Были выявлены значения температуры и солености, которые ограничивают возможности вселения чужеродных видов.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rFonts w:hint="default"/>
          <w:szCs w:val="24"/>
          <w:lang w:val="ru-RU"/>
        </w:rPr>
        <w:t>На основе анализа опубликованных источников был создан список видов-вселенцев среди морских и эстуарных бентосных животных.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rFonts w:hint="default"/>
          <w:szCs w:val="24"/>
          <w:lang w:val="ru-RU"/>
        </w:rPr>
        <w:t>Был проведен биогеографический анализа широтного распределения потенциальных видов-вселенцев.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szCs w:val="24"/>
          <w:lang w:val="ru-RU"/>
        </w:rPr>
        <w:t>С</w:t>
      </w:r>
      <w:r>
        <w:rPr>
          <w:rFonts w:hint="default"/>
          <w:szCs w:val="24"/>
          <w:lang w:val="ru-RU"/>
        </w:rPr>
        <w:t>опоставление с базами данных по гидрологическим параметрам акваторий были выявлены диапазоны толерантности потенциальных видов-вселенцев по отношению к температуре и солености.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rFonts w:hint="default"/>
          <w:szCs w:val="24"/>
          <w:lang w:val="ru-RU"/>
        </w:rPr>
        <w:t xml:space="preserve">Были отфильтрованы те потенциальные вселенцы, диапазоны толерантности которых перекрываются с условиями, характерными для Обской губы. На основе этого анализа был создан список видов, включающий 9 видов, вероятность вселения которых достаточно высока.  </w:t>
      </w:r>
    </w:p>
    <w:p>
      <w:pPr>
        <w:pStyle w:val="4"/>
        <w:numPr>
          <w:ilvl w:val="0"/>
          <w:numId w:val="1"/>
        </w:numPr>
        <w:spacing w:before="120" w:after="120"/>
        <w:jc w:val="both"/>
        <w:rPr>
          <w:szCs w:val="24"/>
        </w:rPr>
      </w:pPr>
      <w:r>
        <w:rPr>
          <w:rFonts w:hint="default"/>
          <w:szCs w:val="24"/>
          <w:lang w:val="ru-RU"/>
        </w:rPr>
        <w:t xml:space="preserve">Для этих видов было описано ожидаемое их воздействие на экосистему Обской губы.  </w:t>
      </w:r>
    </w:p>
    <w:p>
      <w:pPr>
        <w:pStyle w:val="4"/>
        <w:ind w:left="360"/>
        <w:jc w:val="left"/>
        <w:rPr>
          <w:sz w:val="20"/>
        </w:rPr>
      </w:pPr>
    </w:p>
    <w:p>
      <w:pPr>
        <w:pStyle w:val="4"/>
        <w:ind w:left="360"/>
        <w:jc w:val="left"/>
        <w:rPr>
          <w:sz w:val="20"/>
        </w:rPr>
      </w:pPr>
    </w:p>
    <w:p>
      <w:pPr>
        <w:pStyle w:val="4"/>
        <w:tabs>
          <w:tab w:val="left" w:pos="-360"/>
        </w:tabs>
        <w:rPr>
          <w:b/>
          <w:bCs/>
          <w:szCs w:val="24"/>
        </w:rPr>
      </w:pPr>
      <w:r>
        <w:rPr>
          <w:b/>
          <w:bCs/>
          <w:szCs w:val="24"/>
        </w:rPr>
        <w:t>Подписи Сторон:</w:t>
      </w:r>
    </w:p>
    <w:p>
      <w:pPr>
        <w:pStyle w:val="4"/>
        <w:ind w:left="360"/>
        <w:jc w:val="left"/>
        <w:rPr>
          <w:rFonts w:hint="default"/>
          <w:sz w:val="20"/>
          <w:lang w:val="ru-RU"/>
        </w:rPr>
      </w:pPr>
    </w:p>
    <w:tbl>
      <w:tblPr>
        <w:tblStyle w:val="3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noWrap w:val="0"/>
            <w:vAlign w:val="top"/>
          </w:tcPr>
          <w:p>
            <w:pPr>
              <w:pStyle w:val="4"/>
              <w:tabs>
                <w:tab w:val="left" w:pos="-360"/>
              </w:tabs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Заказчик</w:t>
            </w: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</w:p>
          <w:p>
            <w:pPr>
              <w:pStyle w:val="4"/>
              <w:tabs>
                <w:tab w:val="left" w:pos="-360"/>
                <w:tab w:val="left" w:pos="216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________________________ </w:t>
            </w: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Генеральный директор</w:t>
            </w:r>
            <w:r>
              <w:rPr>
                <w:szCs w:val="24"/>
                <w:lang w:val="ru-RU"/>
              </w:rPr>
              <w:br w:type="textWrapping"/>
            </w:r>
            <w:r>
              <w:rPr>
                <w:szCs w:val="24"/>
                <w:lang w:val="ru-RU"/>
              </w:rPr>
              <w:t>Сенченя И.Н.</w:t>
            </w:r>
          </w:p>
          <w:p>
            <w:pPr>
              <w:pStyle w:val="4"/>
              <w:tabs>
                <w:tab w:val="left" w:pos="-360"/>
              </w:tabs>
              <w:spacing w:before="60" w:after="60"/>
              <w:jc w:val="left"/>
              <w:rPr>
                <w:b/>
                <w:szCs w:val="24"/>
                <w:lang w:val="ru-RU"/>
              </w:rPr>
            </w:pPr>
            <w:r>
              <w:rPr>
                <w:szCs w:val="24"/>
              </w:rPr>
              <w:t>м.п</w:t>
            </w:r>
          </w:p>
        </w:tc>
        <w:tc>
          <w:tcPr>
            <w:tcW w:w="4540" w:type="dxa"/>
            <w:noWrap w:val="0"/>
            <w:vAlign w:val="top"/>
          </w:tcPr>
          <w:p>
            <w:pPr>
              <w:pStyle w:val="4"/>
              <w:tabs>
                <w:tab w:val="left" w:pos="-360"/>
              </w:tabs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Исполнитель </w:t>
            </w:r>
          </w:p>
          <w:p>
            <w:pPr>
              <w:pStyle w:val="4"/>
              <w:tabs>
                <w:tab w:val="left" w:pos="-360"/>
              </w:tabs>
              <w:jc w:val="left"/>
              <w:rPr>
                <w:b/>
                <w:szCs w:val="24"/>
              </w:rPr>
            </w:pPr>
          </w:p>
          <w:p>
            <w:pPr>
              <w:pStyle w:val="4"/>
              <w:tabs>
                <w:tab w:val="left" w:pos="-360"/>
              </w:tabs>
              <w:ind w:left="-180" w:firstLine="180"/>
              <w:jc w:val="left"/>
              <w:rPr>
                <w:szCs w:val="24"/>
              </w:rPr>
            </w:pPr>
            <w:bookmarkStart w:id="1" w:name="_GoBack"/>
            <w:bookmarkEnd w:id="1"/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________________________ </w:t>
            </w: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Хайтов</w:t>
            </w:r>
            <w:r>
              <w:rPr>
                <w:rFonts w:hint="default"/>
                <w:szCs w:val="24"/>
                <w:lang w:val="ru-RU"/>
              </w:rPr>
              <w:t xml:space="preserve"> В</w:t>
            </w:r>
            <w:r>
              <w:rPr>
                <w:szCs w:val="24"/>
                <w:lang w:val="ru-RU"/>
              </w:rPr>
              <w:t>.М</w:t>
            </w:r>
            <w:r>
              <w:rPr>
                <w:szCs w:val="24"/>
              </w:rPr>
              <w:t>.</w:t>
            </w:r>
          </w:p>
          <w:p>
            <w:pPr>
              <w:pStyle w:val="4"/>
              <w:tabs>
                <w:tab w:val="left" w:pos="-360"/>
              </w:tabs>
              <w:jc w:val="left"/>
              <w:rPr>
                <w:szCs w:val="24"/>
              </w:rPr>
            </w:pPr>
          </w:p>
        </w:tc>
      </w:tr>
    </w:tbl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B5FEF"/>
    <w:multiLevelType w:val="multilevel"/>
    <w:tmpl w:val="5FBB5FEF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9ECE"/>
    <w:rsid w:val="2B0E6FD8"/>
    <w:rsid w:val="3F0E4200"/>
    <w:rsid w:val="7FCF7C8F"/>
    <w:rsid w:val="7FF3BBE7"/>
    <w:rsid w:val="EEBF9ECE"/>
    <w:rsid w:val="F7B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sz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2022-02-28T18:17:00Z</dcterms:created>
  <dc:creator>sergey</dc:creator>
  <cp:lastModifiedBy>google1599737165</cp:lastModifiedBy>
  <cp:lastPrinted>2022-03-03T06:12:50Z</cp:lastPrinted>
  <dcterms:modified xsi:type="dcterms:W3CDTF">2022-03-03T06:17:41Z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EDE830B267984A3DB12E7288E665FEFC</vt:lpwstr>
  </property>
</Properties>
</file>